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numId w:val="0"/>
        </w:numPr>
        <w:kinsoku/>
        <w:wordWrap/>
        <w:overflowPunct/>
        <w:topLinePunct w:val="0"/>
        <w:autoSpaceDE/>
        <w:autoSpaceDN/>
        <w:bidi w:val="0"/>
        <w:adjustRightInd/>
        <w:snapToGrid/>
        <w:spacing w:before="0" w:beforeLines="100" w:after="0" w:afterLines="100" w:line="360" w:lineRule="auto"/>
        <w:ind w:leftChars="0" w:right="0" w:rightChars="0"/>
        <w:jc w:val="center"/>
        <w:textAlignment w:val="auto"/>
        <w:outlineLvl w:val="0"/>
        <w:rPr>
          <w:rFonts w:hint="eastAsia" w:ascii="微软雅黑" w:hAnsi="微软雅黑" w:eastAsia="微软雅黑" w:cs="微软雅黑"/>
          <w:b w:val="0"/>
          <w:bCs w:val="0"/>
          <w:sz w:val="30"/>
          <w:szCs w:val="30"/>
          <w:lang w:val="en-US" w:eastAsia="zh-CN"/>
        </w:rPr>
      </w:pPr>
      <w:bookmarkStart w:id="0" w:name="_Toc31821"/>
      <w:r>
        <w:rPr>
          <w:rFonts w:hint="eastAsia" w:ascii="微软雅黑" w:hAnsi="微软雅黑" w:eastAsia="微软雅黑" w:cs="微软雅黑"/>
          <w:b w:val="0"/>
          <w:bCs w:val="0"/>
          <w:sz w:val="30"/>
          <w:szCs w:val="30"/>
          <w:lang w:val="en-US" w:eastAsia="zh-CN"/>
        </w:rPr>
        <w:t>目录</w:t>
      </w:r>
      <w:bookmarkEnd w:id="0"/>
    </w:p>
    <w:p>
      <w:pPr>
        <w:pStyle w:val="11"/>
        <w:tabs>
          <w:tab w:val="right" w:leader="dot" w:pos="9090"/>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_Toc31821 </w:instrText>
      </w:r>
      <w:r>
        <w:rPr>
          <w:rFonts w:hint="eastAsia"/>
          <w:lang w:val="en-US" w:eastAsia="zh-CN"/>
        </w:rPr>
        <w:fldChar w:fldCharType="separate"/>
      </w:r>
      <w:r>
        <w:rPr>
          <w:rFonts w:hint="eastAsia" w:ascii="微软雅黑" w:hAnsi="微软雅黑" w:eastAsia="微软雅黑" w:cs="微软雅黑"/>
          <w:bCs w:val="0"/>
          <w:szCs w:val="30"/>
          <w:lang w:val="en-US" w:eastAsia="zh-CN"/>
        </w:rPr>
        <w:t>目录</w:t>
      </w:r>
      <w:r>
        <w:tab/>
      </w:r>
      <w:r>
        <w:fldChar w:fldCharType="begin"/>
      </w:r>
      <w:r>
        <w:instrText xml:space="preserve"> PAGEREF _Toc31821 </w:instrText>
      </w:r>
      <w:r>
        <w:fldChar w:fldCharType="separate"/>
      </w:r>
      <w:r>
        <w:t>1</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_Toc16239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第一章 </w:t>
      </w:r>
      <w:r>
        <w:rPr>
          <w:rFonts w:hint="eastAsia" w:ascii="微软雅黑" w:hAnsi="微软雅黑" w:eastAsia="微软雅黑" w:cs="微软雅黑"/>
          <w:bCs w:val="0"/>
          <w:szCs w:val="30"/>
          <w:lang w:val="en-US" w:eastAsia="zh-CN"/>
        </w:rPr>
        <w:t>学院简介</w:t>
      </w:r>
      <w:r>
        <w:tab/>
      </w:r>
      <w:r>
        <w:fldChar w:fldCharType="begin"/>
      </w:r>
      <w:r>
        <w:instrText xml:space="preserve"> PAGEREF _Toc16239 </w:instrText>
      </w:r>
      <w:r>
        <w:fldChar w:fldCharType="separate"/>
      </w:r>
      <w:r>
        <w:t>2</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_Toc19732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第二章 </w:t>
      </w:r>
      <w:r>
        <w:rPr>
          <w:rFonts w:hint="eastAsia" w:ascii="微软雅黑" w:hAnsi="微软雅黑" w:eastAsia="微软雅黑" w:cs="微软雅黑"/>
          <w:bCs w:val="0"/>
          <w:szCs w:val="30"/>
          <w:lang w:val="en-US" w:eastAsia="zh-CN"/>
        </w:rPr>
        <w:t>毕业生的规模和结构</w:t>
      </w:r>
      <w:r>
        <w:tab/>
      </w:r>
      <w:r>
        <w:fldChar w:fldCharType="begin"/>
      </w:r>
      <w:r>
        <w:instrText xml:space="preserve"> PAGEREF _Toc19732 </w:instrText>
      </w:r>
      <w:r>
        <w:fldChar w:fldCharType="separate"/>
      </w:r>
      <w:r>
        <w:t>3</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_Toc25529 </w:instrText>
      </w:r>
      <w:r>
        <w:rPr>
          <w:rFonts w:hint="eastAsia"/>
          <w:lang w:val="en-US" w:eastAsia="zh-CN"/>
        </w:rPr>
        <w:fldChar w:fldCharType="separate"/>
      </w:r>
      <w:r>
        <w:rPr>
          <w:rFonts w:hint="eastAsia" w:ascii="微软雅黑" w:hAnsi="微软雅黑" w:eastAsia="微软雅黑" w:cs="微软雅黑"/>
          <w:bCs w:val="0"/>
          <w:szCs w:val="28"/>
        </w:rPr>
        <w:t>(一) 总体规模</w:t>
      </w:r>
      <w:r>
        <w:tab/>
      </w:r>
      <w:r>
        <w:fldChar w:fldCharType="begin"/>
      </w:r>
      <w:r>
        <w:instrText xml:space="preserve"> PAGEREF _Toc25529 </w:instrText>
      </w:r>
      <w:r>
        <w:fldChar w:fldCharType="separate"/>
      </w:r>
      <w:r>
        <w:t>3</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_Toc21247 </w:instrText>
      </w:r>
      <w:r>
        <w:rPr>
          <w:rFonts w:hint="eastAsia"/>
          <w:lang w:val="en-US" w:eastAsia="zh-CN"/>
        </w:rPr>
        <w:fldChar w:fldCharType="separate"/>
      </w:r>
      <w:r>
        <w:rPr>
          <w:rFonts w:hint="eastAsia" w:ascii="微软雅黑" w:hAnsi="微软雅黑" w:eastAsia="微软雅黑" w:cs="微软雅黑"/>
          <w:bCs w:val="0"/>
          <w:szCs w:val="28"/>
        </w:rPr>
        <w:t>(二) 结构分布</w:t>
      </w:r>
      <w:r>
        <w:tab/>
      </w:r>
      <w:r>
        <w:fldChar w:fldCharType="begin"/>
      </w:r>
      <w:r>
        <w:instrText xml:space="preserve"> PAGEREF _Toc21247 </w:instrText>
      </w:r>
      <w:r>
        <w:fldChar w:fldCharType="separate"/>
      </w:r>
      <w:r>
        <w:t>4</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_Toc21950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第三章 </w:t>
      </w:r>
      <w:r>
        <w:rPr>
          <w:rFonts w:hint="eastAsia" w:ascii="微软雅黑" w:hAnsi="微软雅黑" w:eastAsia="微软雅黑" w:cs="微软雅黑"/>
          <w:bCs w:val="0"/>
          <w:szCs w:val="30"/>
          <w:lang w:val="en-US" w:eastAsia="zh-CN"/>
        </w:rPr>
        <w:t>就业率</w:t>
      </w:r>
      <w:r>
        <w:tab/>
      </w:r>
      <w:r>
        <w:fldChar w:fldCharType="begin"/>
      </w:r>
      <w:r>
        <w:instrText xml:space="preserve"> PAGEREF _Toc21950 </w:instrText>
      </w:r>
      <w:r>
        <w:fldChar w:fldCharType="separate"/>
      </w:r>
      <w:r>
        <w:t>7</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_Toc23869 </w:instrText>
      </w:r>
      <w:r>
        <w:rPr>
          <w:rFonts w:hint="eastAsia"/>
          <w:lang w:val="en-US" w:eastAsia="zh-CN"/>
        </w:rPr>
        <w:fldChar w:fldCharType="separate"/>
      </w:r>
      <w:r>
        <w:rPr>
          <w:rFonts w:hint="eastAsia" w:ascii="微软雅黑" w:hAnsi="微软雅黑" w:eastAsia="微软雅黑" w:cs="微软雅黑"/>
          <w:bCs w:val="0"/>
          <w:szCs w:val="28"/>
        </w:rPr>
        <w:t>(一) 总体就业率</w:t>
      </w:r>
      <w:r>
        <w:tab/>
      </w:r>
      <w:r>
        <w:fldChar w:fldCharType="begin"/>
      </w:r>
      <w:r>
        <w:instrText xml:space="preserve"> PAGEREF _Toc23869 </w:instrText>
      </w:r>
      <w:r>
        <w:fldChar w:fldCharType="separate"/>
      </w:r>
      <w:r>
        <w:t>7</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_Toc21309 </w:instrText>
      </w:r>
      <w:r>
        <w:rPr>
          <w:rFonts w:hint="eastAsia"/>
          <w:lang w:val="en-US" w:eastAsia="zh-CN"/>
        </w:rPr>
        <w:fldChar w:fldCharType="separate"/>
      </w:r>
      <w:r>
        <w:rPr>
          <w:rFonts w:hint="eastAsia" w:ascii="微软雅黑" w:hAnsi="微软雅黑" w:eastAsia="微软雅黑" w:cs="微软雅黑"/>
          <w:bCs w:val="0"/>
          <w:szCs w:val="28"/>
        </w:rPr>
        <w:t>(二) 面向基层就业情况分布</w:t>
      </w:r>
      <w:r>
        <w:tab/>
      </w:r>
      <w:r>
        <w:fldChar w:fldCharType="begin"/>
      </w:r>
      <w:r>
        <w:instrText xml:space="preserve"> PAGEREF _Toc21309 </w:instrText>
      </w:r>
      <w:r>
        <w:fldChar w:fldCharType="separate"/>
      </w:r>
      <w:r>
        <w:t>8</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_Toc22707 </w:instrText>
      </w:r>
      <w:r>
        <w:rPr>
          <w:rFonts w:hint="eastAsia"/>
          <w:lang w:val="en-US" w:eastAsia="zh-CN"/>
        </w:rPr>
        <w:fldChar w:fldCharType="separate"/>
      </w:r>
      <w:r>
        <w:rPr>
          <w:rFonts w:hint="eastAsia" w:ascii="微软雅黑" w:hAnsi="微软雅黑" w:eastAsia="微软雅黑" w:cs="微软雅黑"/>
          <w:bCs w:val="0"/>
          <w:szCs w:val="28"/>
        </w:rPr>
        <w:t>(三) 未就业分析</w:t>
      </w:r>
      <w:r>
        <w:tab/>
      </w:r>
      <w:r>
        <w:fldChar w:fldCharType="begin"/>
      </w:r>
      <w:r>
        <w:instrText xml:space="preserve"> PAGEREF _Toc22707 </w:instrText>
      </w:r>
      <w:r>
        <w:fldChar w:fldCharType="separate"/>
      </w:r>
      <w:r>
        <w:t>8</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_Toc11042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第四章 </w:t>
      </w:r>
      <w:r>
        <w:rPr>
          <w:rFonts w:hint="eastAsia" w:ascii="微软雅黑" w:hAnsi="微软雅黑" w:eastAsia="微软雅黑" w:cs="微软雅黑"/>
          <w:bCs w:val="0"/>
          <w:szCs w:val="30"/>
          <w:lang w:val="en-US" w:eastAsia="zh-CN"/>
        </w:rPr>
        <w:t>毕业流向</w:t>
      </w:r>
      <w:r>
        <w:tab/>
      </w:r>
      <w:r>
        <w:fldChar w:fldCharType="begin"/>
      </w:r>
      <w:r>
        <w:instrText xml:space="preserve"> PAGEREF _Toc11042 </w:instrText>
      </w:r>
      <w:r>
        <w:fldChar w:fldCharType="separate"/>
      </w:r>
      <w:r>
        <w:t>10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_Toc32718 </w:instrText>
      </w:r>
      <w:r>
        <w:rPr>
          <w:rFonts w:hint="eastAsia"/>
          <w:lang w:val="en-US" w:eastAsia="zh-CN"/>
        </w:rPr>
        <w:fldChar w:fldCharType="separate"/>
      </w:r>
      <w:r>
        <w:rPr>
          <w:rFonts w:hint="eastAsia" w:ascii="微软雅黑" w:hAnsi="微软雅黑" w:eastAsia="微软雅黑" w:cs="微软雅黑"/>
          <w:bCs w:val="0"/>
          <w:szCs w:val="28"/>
        </w:rPr>
        <w:t>(一) 毕业去向分析</w:t>
      </w:r>
      <w:r>
        <w:tab/>
      </w:r>
      <w:r>
        <w:fldChar w:fldCharType="begin"/>
      </w:r>
      <w:r>
        <w:instrText xml:space="preserve"> PAGEREF _Toc32718 </w:instrText>
      </w:r>
      <w:r>
        <w:fldChar w:fldCharType="separate"/>
      </w:r>
      <w:r>
        <w:t>10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_Toc143 </w:instrText>
      </w:r>
      <w:r>
        <w:rPr>
          <w:rFonts w:hint="eastAsia"/>
          <w:lang w:val="en-US" w:eastAsia="zh-CN"/>
        </w:rPr>
        <w:fldChar w:fldCharType="separate"/>
      </w:r>
      <w:r>
        <w:rPr>
          <w:rFonts w:hint="eastAsia" w:ascii="微软雅黑" w:hAnsi="微软雅黑" w:eastAsia="微软雅黑" w:cs="微软雅黑"/>
          <w:bCs w:val="0"/>
          <w:szCs w:val="28"/>
        </w:rPr>
        <w:t>(二) 单位行业分析</w:t>
      </w:r>
      <w:r>
        <w:tab/>
      </w:r>
      <w:r>
        <w:fldChar w:fldCharType="begin"/>
      </w:r>
      <w:r>
        <w:instrText xml:space="preserve"> PAGEREF _Toc143 </w:instrText>
      </w:r>
      <w:r>
        <w:fldChar w:fldCharType="separate"/>
      </w:r>
      <w:r>
        <w:t>10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_Toc6637 </w:instrText>
      </w:r>
      <w:r>
        <w:rPr>
          <w:rFonts w:hint="eastAsia"/>
          <w:lang w:val="en-US" w:eastAsia="zh-CN"/>
        </w:rPr>
        <w:fldChar w:fldCharType="separate"/>
      </w:r>
      <w:r>
        <w:rPr>
          <w:rFonts w:hint="eastAsia" w:ascii="微软雅黑" w:hAnsi="微软雅黑" w:eastAsia="微软雅黑" w:cs="微软雅黑"/>
          <w:bCs w:val="0"/>
          <w:szCs w:val="28"/>
        </w:rPr>
        <w:t>(三) 单位性质分析</w:t>
      </w:r>
      <w:r>
        <w:tab/>
      </w:r>
      <w:r>
        <w:fldChar w:fldCharType="begin"/>
      </w:r>
      <w:r>
        <w:instrText xml:space="preserve"> PAGEREF _Toc6637 </w:instrText>
      </w:r>
      <w:r>
        <w:fldChar w:fldCharType="separate"/>
      </w:r>
      <w:r>
        <w:t>11</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_Toc29475 </w:instrText>
      </w:r>
      <w:r>
        <w:rPr>
          <w:rFonts w:hint="eastAsia"/>
          <w:lang w:val="en-US" w:eastAsia="zh-CN"/>
        </w:rPr>
        <w:fldChar w:fldCharType="separate"/>
      </w:r>
      <w:r>
        <w:rPr>
          <w:rFonts w:hint="eastAsia" w:ascii="微软雅黑" w:hAnsi="微软雅黑" w:eastAsia="微软雅黑" w:cs="微软雅黑"/>
          <w:bCs w:val="0"/>
          <w:szCs w:val="28"/>
        </w:rPr>
        <w:t>(四) 工作岗位分析</w:t>
      </w:r>
      <w:r>
        <w:tab/>
      </w:r>
      <w:r>
        <w:fldChar w:fldCharType="begin"/>
      </w:r>
      <w:r>
        <w:instrText xml:space="preserve"> PAGEREF _Toc29475 </w:instrText>
      </w:r>
      <w:r>
        <w:fldChar w:fldCharType="separate"/>
      </w:r>
      <w:r>
        <w:t>12</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_Toc20226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第五章 </w:t>
      </w:r>
      <w:r>
        <w:rPr>
          <w:rFonts w:hint="eastAsia" w:ascii="微软雅黑" w:hAnsi="微软雅黑" w:eastAsia="微软雅黑" w:cs="微软雅黑"/>
          <w:bCs w:val="0"/>
          <w:szCs w:val="30"/>
          <w:lang w:val="en-US" w:eastAsia="zh-CN"/>
        </w:rPr>
        <w:t>就业地域流向分析</w:t>
      </w:r>
      <w:r>
        <w:tab/>
      </w:r>
      <w:r>
        <w:fldChar w:fldCharType="begin"/>
      </w:r>
      <w:r>
        <w:instrText xml:space="preserve"> PAGEREF _Toc20226 </w:instrText>
      </w:r>
      <w:r>
        <w:fldChar w:fldCharType="separate"/>
      </w:r>
      <w:r>
        <w:t>12</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_Toc16015 </w:instrText>
      </w:r>
      <w:r>
        <w:rPr>
          <w:rFonts w:hint="eastAsia"/>
          <w:lang w:val="en-US" w:eastAsia="zh-CN"/>
        </w:rPr>
        <w:fldChar w:fldCharType="separate"/>
      </w:r>
      <w:r>
        <w:rPr>
          <w:rFonts w:hint="eastAsia" w:ascii="微软雅黑" w:hAnsi="微软雅黑" w:eastAsia="微软雅黑" w:cs="微软雅黑"/>
          <w:bCs w:val="0"/>
          <w:szCs w:val="28"/>
        </w:rPr>
        <w:t>(一) 就业地区域类型</w:t>
      </w:r>
      <w:r>
        <w:tab/>
      </w:r>
      <w:r>
        <w:fldChar w:fldCharType="begin"/>
      </w:r>
      <w:r>
        <w:instrText xml:space="preserve"> PAGEREF _Toc16015 </w:instrText>
      </w:r>
      <w:r>
        <w:fldChar w:fldCharType="separate"/>
      </w:r>
      <w:r>
        <w:t>12</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_Toc31072 </w:instrText>
      </w:r>
      <w:r>
        <w:rPr>
          <w:rFonts w:hint="eastAsia"/>
          <w:lang w:val="en-US" w:eastAsia="zh-CN"/>
        </w:rPr>
        <w:fldChar w:fldCharType="separate"/>
      </w:r>
      <w:r>
        <w:rPr>
          <w:rFonts w:hint="eastAsia" w:ascii="微软雅黑" w:hAnsi="微软雅黑" w:eastAsia="微软雅黑" w:cs="微软雅黑"/>
          <w:bCs w:val="0"/>
          <w:szCs w:val="28"/>
        </w:rPr>
        <w:t>(二) 毕业生回原籍工作分析</w:t>
      </w:r>
      <w:r>
        <w:tab/>
      </w:r>
      <w:r>
        <w:fldChar w:fldCharType="begin"/>
      </w:r>
      <w:r>
        <w:instrText xml:space="preserve"> PAGEREF _Toc31072 </w:instrText>
      </w:r>
      <w:r>
        <w:fldChar w:fldCharType="separate"/>
      </w:r>
      <w:r>
        <w:t>14</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_Toc13237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第六章 </w:t>
      </w:r>
      <w:r>
        <w:rPr>
          <w:rFonts w:hint="eastAsia" w:ascii="微软雅黑" w:hAnsi="微软雅黑" w:eastAsia="微软雅黑" w:cs="微软雅黑"/>
          <w:bCs w:val="0"/>
          <w:szCs w:val="30"/>
          <w:lang w:val="en-US" w:eastAsia="zh-CN"/>
        </w:rPr>
        <w:t>求职分析</w:t>
      </w:r>
      <w:r>
        <w:tab/>
      </w:r>
      <w:r>
        <w:fldChar w:fldCharType="begin"/>
      </w:r>
      <w:r>
        <w:instrText xml:space="preserve"> PAGEREF _Toc13237 </w:instrText>
      </w:r>
      <w:r>
        <w:fldChar w:fldCharType="separate"/>
      </w:r>
      <w:r>
        <w:t>15</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_Toc28366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第七章 </w:t>
      </w:r>
      <w:r>
        <w:rPr>
          <w:rFonts w:hint="eastAsia" w:ascii="微软雅黑" w:hAnsi="微软雅黑" w:eastAsia="微软雅黑" w:cs="微软雅黑"/>
          <w:bCs w:val="0"/>
          <w:szCs w:val="30"/>
          <w:lang w:val="en-US" w:eastAsia="zh-CN"/>
        </w:rPr>
        <w:t>满意度调查分析</w:t>
      </w:r>
      <w:r>
        <w:tab/>
      </w:r>
      <w:r>
        <w:fldChar w:fldCharType="begin"/>
      </w:r>
      <w:r>
        <w:instrText xml:space="preserve"> PAGEREF _Toc28366 </w:instrText>
      </w:r>
      <w:r>
        <w:fldChar w:fldCharType="separate"/>
      </w:r>
      <w:r>
        <w:t>18</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_Toc16360 </w:instrText>
      </w:r>
      <w:r>
        <w:rPr>
          <w:rFonts w:hint="eastAsia"/>
          <w:lang w:val="en-US" w:eastAsia="zh-CN"/>
        </w:rPr>
        <w:fldChar w:fldCharType="separate"/>
      </w:r>
      <w:r>
        <w:rPr>
          <w:rFonts w:hint="eastAsia" w:ascii="微软雅黑" w:hAnsi="微软雅黑" w:eastAsia="微软雅黑" w:cs="微软雅黑"/>
          <w:bCs w:val="0"/>
          <w:szCs w:val="28"/>
          <w:lang w:val="en-US" w:eastAsia="zh-CN"/>
        </w:rPr>
        <w:t>(一) 用人单位满意度调查</w:t>
      </w:r>
      <w:r>
        <w:tab/>
      </w:r>
      <w:r>
        <w:fldChar w:fldCharType="begin"/>
      </w:r>
      <w:r>
        <w:instrText xml:space="preserve"> PAGEREF _Toc16360 </w:instrText>
      </w:r>
      <w:r>
        <w:fldChar w:fldCharType="separate"/>
      </w:r>
      <w:r>
        <w:t>18</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_Toc17238 </w:instrText>
      </w:r>
      <w:r>
        <w:rPr>
          <w:rFonts w:hint="eastAsia"/>
          <w:lang w:val="en-US" w:eastAsia="zh-CN"/>
        </w:rPr>
        <w:fldChar w:fldCharType="separate"/>
      </w:r>
      <w:r>
        <w:rPr>
          <w:rFonts w:hint="eastAsia" w:ascii="微软雅黑" w:hAnsi="微软雅黑" w:eastAsia="微软雅黑" w:cs="微软雅黑"/>
          <w:bCs w:val="0"/>
          <w:szCs w:val="28"/>
          <w:lang w:val="en-US" w:eastAsia="zh-CN"/>
        </w:rPr>
        <w:t>(二) 毕业生满意度调查</w:t>
      </w:r>
      <w:r>
        <w:tab/>
      </w:r>
      <w:r>
        <w:fldChar w:fldCharType="begin"/>
      </w:r>
      <w:r>
        <w:instrText xml:space="preserve"> PAGEREF _Toc17238 </w:instrText>
      </w:r>
      <w:r>
        <w:fldChar w:fldCharType="separate"/>
      </w:r>
      <w:r>
        <w:t>18</w:t>
      </w:r>
      <w:r>
        <w:fldChar w:fldCharType="end"/>
      </w:r>
      <w:r>
        <w:rPr>
          <w:rFonts w:hint="eastAsia"/>
          <w:lang w:val="en-US" w:eastAsia="zh-CN"/>
        </w:rPr>
        <w:fldChar w:fldCharType="end"/>
      </w:r>
    </w:p>
    <w:p>
      <w:pPr>
        <w:pStyle w:val="11"/>
        <w:tabs>
          <w:tab w:val="right" w:leader="dot" w:pos="9090"/>
        </w:tabs>
      </w:pPr>
      <w:r>
        <w:rPr>
          <w:rFonts w:hint="eastAsia"/>
          <w:lang w:val="en-US" w:eastAsia="zh-CN"/>
        </w:rPr>
        <w:fldChar w:fldCharType="begin"/>
      </w:r>
      <w:r>
        <w:rPr>
          <w:rFonts w:hint="eastAsia"/>
          <w:lang w:val="en-US" w:eastAsia="zh-CN"/>
        </w:rPr>
        <w:instrText xml:space="preserve"> HYPERLINK \l _Toc6921 </w:instrText>
      </w:r>
      <w:r>
        <w:rPr>
          <w:rFonts w:hint="eastAsia"/>
          <w:lang w:val="en-US" w:eastAsia="zh-CN"/>
        </w:rPr>
        <w:fldChar w:fldCharType="separate"/>
      </w:r>
      <w:r>
        <w:rPr>
          <w:rFonts w:hint="default" w:ascii="微软雅黑" w:hAnsi="微软雅黑" w:eastAsia="微软雅黑" w:cs="微软雅黑"/>
          <w:bCs w:val="0"/>
          <w:szCs w:val="30"/>
          <w:lang w:val="en-US" w:eastAsia="zh-CN"/>
        </w:rPr>
        <w:t xml:space="preserve">第八章 </w:t>
      </w:r>
      <w:r>
        <w:rPr>
          <w:rFonts w:hint="eastAsia" w:ascii="微软雅黑" w:hAnsi="微软雅黑" w:eastAsia="微软雅黑" w:cs="微软雅黑"/>
          <w:bCs w:val="0"/>
          <w:szCs w:val="30"/>
          <w:lang w:val="en-US" w:eastAsia="zh-CN"/>
        </w:rPr>
        <w:t>三、毕业生就业工作的主要特点</w:t>
      </w:r>
      <w:r>
        <w:tab/>
      </w:r>
      <w:r>
        <w:fldChar w:fldCharType="begin"/>
      </w:r>
      <w:r>
        <w:instrText xml:space="preserve"> PAGEREF _Toc6921 </w:instrText>
      </w:r>
      <w:r>
        <w:fldChar w:fldCharType="separate"/>
      </w:r>
      <w:r>
        <w:t>19</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_Toc23401 </w:instrText>
      </w:r>
      <w:r>
        <w:rPr>
          <w:rFonts w:hint="eastAsia"/>
          <w:lang w:val="en-US" w:eastAsia="zh-CN"/>
        </w:rPr>
        <w:fldChar w:fldCharType="separate"/>
      </w:r>
      <w:r>
        <w:rPr>
          <w:rFonts w:hint="eastAsia" w:ascii="微软雅黑" w:hAnsi="微软雅黑" w:eastAsia="微软雅黑" w:cs="微软雅黑"/>
          <w:bCs w:val="0"/>
          <w:szCs w:val="28"/>
          <w:lang w:val="en-US" w:eastAsia="zh-CN"/>
        </w:rPr>
        <w:t>(一) 学院领导重视毕业生就业工作</w:t>
      </w:r>
      <w:r>
        <w:tab/>
      </w:r>
      <w:r>
        <w:fldChar w:fldCharType="begin"/>
      </w:r>
      <w:r>
        <w:instrText xml:space="preserve"> PAGEREF _Toc23401 </w:instrText>
      </w:r>
      <w:r>
        <w:fldChar w:fldCharType="separate"/>
      </w:r>
      <w:r>
        <w:t>19</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_Toc15243 </w:instrText>
      </w:r>
      <w:r>
        <w:rPr>
          <w:rFonts w:hint="eastAsia"/>
          <w:lang w:val="en-US" w:eastAsia="zh-CN"/>
        </w:rPr>
        <w:fldChar w:fldCharType="separate"/>
      </w:r>
      <w:r>
        <w:rPr>
          <w:rFonts w:hint="eastAsia" w:ascii="微软雅黑" w:hAnsi="微软雅黑" w:eastAsia="微软雅黑" w:cs="微软雅黑"/>
          <w:bCs w:val="0"/>
          <w:szCs w:val="28"/>
          <w:lang w:val="en-US" w:eastAsia="zh-CN"/>
        </w:rPr>
        <w:t>(二) 落实毕业生就业创业规定</w:t>
      </w:r>
      <w:r>
        <w:tab/>
      </w:r>
      <w:r>
        <w:fldChar w:fldCharType="begin"/>
      </w:r>
      <w:r>
        <w:instrText xml:space="preserve"> PAGEREF _Toc15243 </w:instrText>
      </w:r>
      <w:r>
        <w:fldChar w:fldCharType="separate"/>
      </w:r>
      <w:r>
        <w:t>19</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_Toc4178 </w:instrText>
      </w:r>
      <w:r>
        <w:rPr>
          <w:rFonts w:hint="eastAsia"/>
          <w:lang w:val="en-US" w:eastAsia="zh-CN"/>
        </w:rPr>
        <w:fldChar w:fldCharType="separate"/>
      </w:r>
      <w:r>
        <w:rPr>
          <w:rFonts w:hint="eastAsia" w:ascii="微软雅黑" w:hAnsi="微软雅黑" w:eastAsia="微软雅黑" w:cs="微软雅黑"/>
          <w:bCs w:val="0"/>
          <w:szCs w:val="28"/>
          <w:lang w:val="en-US" w:eastAsia="zh-CN"/>
        </w:rPr>
        <w:t>(三) 积极开展就业创业教育</w:t>
      </w:r>
      <w:r>
        <w:tab/>
      </w:r>
      <w:r>
        <w:fldChar w:fldCharType="begin"/>
      </w:r>
      <w:r>
        <w:instrText xml:space="preserve"> PAGEREF _Toc4178 </w:instrText>
      </w:r>
      <w:r>
        <w:fldChar w:fldCharType="separate"/>
      </w:r>
      <w:r>
        <w:t>19</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_Toc26537 </w:instrText>
      </w:r>
      <w:r>
        <w:rPr>
          <w:rFonts w:hint="eastAsia"/>
          <w:lang w:val="en-US" w:eastAsia="zh-CN"/>
        </w:rPr>
        <w:fldChar w:fldCharType="separate"/>
      </w:r>
      <w:r>
        <w:rPr>
          <w:rFonts w:hint="eastAsia" w:ascii="微软雅黑" w:hAnsi="微软雅黑" w:eastAsia="微软雅黑" w:cs="微软雅黑"/>
          <w:bCs w:val="0"/>
          <w:szCs w:val="28"/>
          <w:lang w:val="en-US" w:eastAsia="zh-CN"/>
        </w:rPr>
        <w:t>(四) 加大毕业生就业实习基地建设</w:t>
      </w:r>
      <w:r>
        <w:tab/>
      </w:r>
      <w:r>
        <w:fldChar w:fldCharType="begin"/>
      </w:r>
      <w:r>
        <w:instrText xml:space="preserve"> PAGEREF _Toc26537 </w:instrText>
      </w:r>
      <w:r>
        <w:fldChar w:fldCharType="separate"/>
      </w:r>
      <w:r>
        <w:t>20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_Toc268 </w:instrText>
      </w:r>
      <w:r>
        <w:rPr>
          <w:rFonts w:hint="eastAsia"/>
          <w:lang w:val="en-US" w:eastAsia="zh-CN"/>
        </w:rPr>
        <w:fldChar w:fldCharType="separate"/>
      </w:r>
      <w:r>
        <w:rPr>
          <w:rFonts w:hint="eastAsia" w:ascii="微软雅黑" w:hAnsi="微软雅黑" w:eastAsia="微软雅黑" w:cs="微软雅黑"/>
          <w:bCs w:val="0"/>
          <w:szCs w:val="28"/>
          <w:lang w:val="en-US" w:eastAsia="zh-CN"/>
        </w:rPr>
        <w:t>(五) 继续开展“订单式”人才培养</w:t>
      </w:r>
      <w:r>
        <w:tab/>
      </w:r>
      <w:r>
        <w:fldChar w:fldCharType="begin"/>
      </w:r>
      <w:r>
        <w:instrText xml:space="preserve"> PAGEREF _Toc268 </w:instrText>
      </w:r>
      <w:r>
        <w:fldChar w:fldCharType="separate"/>
      </w:r>
      <w:r>
        <w:t>20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_Toc13660 </w:instrText>
      </w:r>
      <w:r>
        <w:rPr>
          <w:rFonts w:hint="eastAsia"/>
          <w:lang w:val="en-US" w:eastAsia="zh-CN"/>
        </w:rPr>
        <w:fldChar w:fldCharType="separate"/>
      </w:r>
      <w:r>
        <w:rPr>
          <w:rFonts w:hint="eastAsia" w:ascii="微软雅黑" w:hAnsi="微软雅黑" w:eastAsia="微软雅黑" w:cs="微软雅黑"/>
          <w:bCs w:val="0"/>
          <w:szCs w:val="28"/>
          <w:lang w:val="en-US" w:eastAsia="zh-CN"/>
        </w:rPr>
        <w:t>(六) 加强学生的艺术实践工作</w:t>
      </w:r>
      <w:r>
        <w:tab/>
      </w:r>
      <w:r>
        <w:fldChar w:fldCharType="begin"/>
      </w:r>
      <w:r>
        <w:instrText xml:space="preserve"> PAGEREF _Toc13660 </w:instrText>
      </w:r>
      <w:r>
        <w:fldChar w:fldCharType="separate"/>
      </w:r>
      <w:r>
        <w:t>20</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_Toc15092 </w:instrText>
      </w:r>
      <w:r>
        <w:rPr>
          <w:rFonts w:hint="eastAsia"/>
          <w:lang w:val="en-US" w:eastAsia="zh-CN"/>
        </w:rPr>
        <w:fldChar w:fldCharType="separate"/>
      </w:r>
      <w:r>
        <w:rPr>
          <w:rFonts w:hint="eastAsia" w:ascii="微软雅黑" w:hAnsi="微软雅黑" w:eastAsia="微软雅黑" w:cs="微软雅黑"/>
          <w:bCs w:val="0"/>
          <w:szCs w:val="28"/>
          <w:lang w:val="en-US" w:eastAsia="zh-CN"/>
        </w:rPr>
        <w:t>(七) 强化就业文化建设</w:t>
      </w:r>
      <w:r>
        <w:tab/>
      </w:r>
      <w:r>
        <w:fldChar w:fldCharType="begin"/>
      </w:r>
      <w:r>
        <w:instrText xml:space="preserve"> PAGEREF _Toc15092 </w:instrText>
      </w:r>
      <w:r>
        <w:fldChar w:fldCharType="separate"/>
      </w:r>
      <w:r>
        <w:t>21</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_Toc5828 </w:instrText>
      </w:r>
      <w:r>
        <w:rPr>
          <w:rFonts w:hint="eastAsia"/>
          <w:lang w:val="en-US" w:eastAsia="zh-CN"/>
        </w:rPr>
        <w:fldChar w:fldCharType="separate"/>
      </w:r>
      <w:r>
        <w:rPr>
          <w:rFonts w:hint="eastAsia" w:ascii="微软雅黑" w:hAnsi="微软雅黑" w:eastAsia="微软雅黑" w:cs="微软雅黑"/>
          <w:bCs w:val="0"/>
          <w:szCs w:val="28"/>
          <w:lang w:val="en-US" w:eastAsia="zh-CN"/>
        </w:rPr>
        <w:t>(八) 组织举办毕业生就业市场</w:t>
      </w:r>
      <w:r>
        <w:tab/>
      </w:r>
      <w:r>
        <w:fldChar w:fldCharType="begin"/>
      </w:r>
      <w:r>
        <w:instrText xml:space="preserve"> PAGEREF _Toc5828 </w:instrText>
      </w:r>
      <w:r>
        <w:fldChar w:fldCharType="separate"/>
      </w:r>
      <w:r>
        <w:t>21</w:t>
      </w:r>
      <w:r>
        <w:fldChar w:fldCharType="end"/>
      </w:r>
      <w:r>
        <w:rPr>
          <w:rFonts w:hint="eastAsia"/>
          <w:lang w:val="en-US" w:eastAsia="zh-CN"/>
        </w:rPr>
        <w:fldChar w:fldCharType="end"/>
      </w:r>
    </w:p>
    <w:p>
      <w:pPr>
        <w:pStyle w:val="13"/>
        <w:tabs>
          <w:tab w:val="right" w:leader="dot" w:pos="9090"/>
        </w:tabs>
      </w:pPr>
      <w:r>
        <w:rPr>
          <w:rFonts w:hint="eastAsia"/>
          <w:lang w:val="en-US" w:eastAsia="zh-CN"/>
        </w:rPr>
        <w:fldChar w:fldCharType="begin"/>
      </w:r>
      <w:r>
        <w:rPr>
          <w:rFonts w:hint="eastAsia"/>
          <w:lang w:val="en-US" w:eastAsia="zh-CN"/>
        </w:rPr>
        <w:instrText xml:space="preserve"> HYPERLINK \l _Toc247 </w:instrText>
      </w:r>
      <w:r>
        <w:rPr>
          <w:rFonts w:hint="eastAsia"/>
          <w:lang w:val="en-US" w:eastAsia="zh-CN"/>
        </w:rPr>
        <w:fldChar w:fldCharType="separate"/>
      </w:r>
      <w:r>
        <w:rPr>
          <w:rFonts w:hint="eastAsia" w:ascii="微软雅黑" w:hAnsi="微软雅黑" w:eastAsia="微软雅黑" w:cs="微软雅黑"/>
          <w:bCs w:val="0"/>
          <w:szCs w:val="28"/>
          <w:lang w:val="en-US" w:eastAsia="zh-CN"/>
        </w:rPr>
        <w:t>(九) 加强就业创业理论研究</w:t>
      </w:r>
      <w:r>
        <w:tab/>
      </w:r>
      <w:r>
        <w:fldChar w:fldCharType="begin"/>
      </w:r>
      <w:r>
        <w:instrText xml:space="preserve"> PAGEREF _Toc247 </w:instrText>
      </w:r>
      <w:r>
        <w:fldChar w:fldCharType="separate"/>
      </w:r>
      <w:r>
        <w:t>22</w:t>
      </w:r>
      <w:r>
        <w:fldChar w:fldCharType="end"/>
      </w:r>
      <w:r>
        <w:rPr>
          <w:rFonts w:hint="eastAsia"/>
          <w:lang w:val="en-US" w:eastAsia="zh-CN"/>
        </w:rPr>
        <w:fldChar w:fldCharType="end"/>
      </w:r>
    </w:p>
    <w:p>
      <w:pPr>
        <w:rPr>
          <w:rFonts w:hint="eastAsia"/>
          <w:lang w:val="en-US" w:eastAsia="zh-CN"/>
        </w:rPr>
      </w:pPr>
      <w:r>
        <w:rPr>
          <w:rFonts w:hint="eastAsia"/>
          <w:lang w:val="en-US" w:eastAsia="zh-CN"/>
        </w:rPr>
        <w:fldChar w:fldCharType="end"/>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1" w:name="_Toc16239"/>
      <w:r>
        <w:rPr>
          <w:rFonts w:hint="eastAsia" w:ascii="微软雅黑" w:hAnsi="微软雅黑" w:eastAsia="微软雅黑" w:cs="微软雅黑"/>
          <w:b w:val="0"/>
          <w:bCs w:val="0"/>
          <w:sz w:val="30"/>
          <w:szCs w:val="30"/>
          <w:lang w:val="en-US" w:eastAsia="zh-CN"/>
        </w:rPr>
        <w:t>学院简介</w:t>
      </w:r>
      <w:bookmarkEnd w:id="1"/>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安徽艺术职业学院是安徽省唯一一所公办综合性全日制高等艺术院校，其前身是安徽艺术学校，创办于1956年。学校1958年升格为安徽艺术专科学校，1959年皖南大学艺术系并入后成立安徽艺术学院，1963年为贯彻八字方针，安徽艺术学院调整恢复为安徽艺术学校。1996年安徽艺术学校与安徽大学联合开办安徽大学艺术学院，开始招收本、专科生。2003年6月经安徽省人民政府批准将安徽省电影学校并入，成立安徽艺术职业学院。建校60年来，学院肩负着为传承和弘扬优秀文化艺术，培养艺术类专门人才的重任，根植于安徽丰厚的文化土壤，孕育了自身的办学传统和办学特色，成为安徽文化艺术人才培养的基地。 </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学院下辖宣城路和丹霞路两个校区，占地面积170.4亩，建筑面积97130平方米。在校生3000多人，包含本科、专科、高职、中专四个办学层次。现设置美术、戏剧、音乐、舞蹈、综艺、基础教育部六个系（部）和一个国际与继续教育学院，开设音乐表演、戏曲表演、舞蹈表演、表演艺术、美术和艺术设计等19个专业（其中省级特色专业2个），构建了音乐、戏剧、舞蹈、美术、影视艺术、艺术设计6大专业群。戏曲表演专业和舞蹈表演专业2个“中央财政支持高等职业学校提升专业服务产业发展能力项目”通过专家组验收。</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学院英才云集，名师荟萃。在编教职工300多人，其中专任教师260多人，具有高级职称60多名。先后聘请周小燕、姜若瑜、梁伯龙、朴东升、余秋雨、彭家鹏、袁运生、宋飞、徐昌俊、徐淑英、王中山、崔新琴、马梅、焦小健、李文、解晓东、吴亚玲、黄新德等40余名专家学者为学院客座教授。</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春风化雨，桃李芬芳。在60年的办学过程中，学院为社会培养了众多优秀的艺术人才，许多人已成为国家和省内外文艺单位的艺术骨干和颇有成就的艺术家。先后涌现出我国第一位琵琶女博士李景侠，第一位扬琴女硕士李玲玲，第一位唢呐硕士隋景山，著名作曲家、天津音乐学院院长徐昌俊，著名民族管乐演奏家、教育家吴安明，著名歌唱演员马梅、迟黎明、张燕、王莉，著名歌星解晓东；黄梅戏“五朵金花”马兰、吴琼、杨俊、袁玫、吴亚玲，梅花奖得主黄新德、李龙斌、蒋建国、李文等；中国舞蹈家协会副主席、解放军艺术学院舞蹈系主任刘敏，中国舞蹈家协会副秘书长、青年舞蹈家夏小虎，北京舞蹈学院艺术实践中心主任、青年舞蹈家胡淮北，中央芭蕾舞团首席编导费波；画家朱松发、徐德隆、葛新民等一大批知名人士。</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近年来，学院坚持以人为本，以质立校，求实创新，严抓管理，励精图治，锐意进取，走出了一条面向社会需要，适应市场经济发展，具有鲜明办学特色和艺术专业优势的办学新路。学院先后与中国音乐学院、北京舞蹈学院、安徽大学等院校联合开展艺术成人本科教育。2008年学院成立国际艺术学院，先后与澳大利亚伊迪斯·科文大学、中央昆士兰大学联合开办艺术类“3+1”专本连读、“3+1+1”本硕连读校际交流项目。学院注重学生实践能力和创新能力的培养，连续冲击中宣部“五个一”工程奖、文化部文华艺术院校奖 “桃李杯”舞蹈大赛、全国职业院校技能大赛、中国校园戏剧节、“荷花奖” 全国舞蹈比赛、“戏剧小梅花”、“CCTV杯”舞蹈比赛、全国美展等一系列国内重大艺术赛事，并不断摘金夺银挂铜。先后组织学生参加安徽省11届运动会开闭幕式文艺演出、全国第四届体育运动大会开幕式文艺演出、中博会文艺演出、铜陵市建市50周年演出、奥运会开幕式的暖场演出、建国60周年花车巡游、第一届和第二届中国农民歌会、花鼓灯会、上海世博会安徽活动周演出等，承办安徽省委宣传部、省教育厅、安徽省文化厅主办的“校园大舞台—徽风皖韵进高校”系列大型文艺演出。学院多次代表国家和安徽省组团出访法国、德国、韩国、乌克兰、波兰等国家和中国台湾、香港等地区，加强了国际间及与海峡两岸的文化交流。</w:t>
      </w:r>
    </w:p>
    <w:p>
      <w:pPr>
        <w:pStyle w:val="24"/>
        <w:spacing w:line="360" w:lineRule="auto"/>
        <w:rPr>
          <w:rFonts w:hint="eastAsia" w:ascii="微软雅黑" w:hAnsi="微软雅黑" w:eastAsia="微软雅黑" w:cs="微软雅黑"/>
          <w:b w:val="0"/>
          <w:bCs w:val="0"/>
          <w:sz w:val="30"/>
          <w:szCs w:val="30"/>
          <w:lang w:val="en-US" w:eastAsia="zh-CN"/>
        </w:rPr>
      </w:pPr>
      <w:r>
        <w:rPr>
          <w:rFonts w:hint="eastAsia" w:ascii="微软雅黑" w:hAnsi="微软雅黑" w:eastAsia="微软雅黑"/>
          <w:sz w:val="21"/>
          <w:szCs w:val="22"/>
        </w:rPr>
        <w:t>60年来，学院汇集了安徽文艺界的精英，积淀了厚重的人文底蕴和艺术氛围，培育了 “勤奋、感悟、励志、创新”的学院精神。面对新的发展机遇和挑战，学院将以科学发展观为指导，以建设“国内一流艺术职业院校”为目标，提升内涵与拓展外延并举，不断提高学院的综合实力和核心竞争力，在稳定中发展，在创新中前进。 </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2" w:name="_Toc19732"/>
      <w:r>
        <w:rPr>
          <w:rFonts w:hint="eastAsia" w:ascii="微软雅黑" w:hAnsi="微软雅黑" w:eastAsia="微软雅黑" w:cs="微软雅黑"/>
          <w:b w:val="0"/>
          <w:bCs w:val="0"/>
          <w:sz w:val="30"/>
          <w:szCs w:val="30"/>
          <w:lang w:val="en-US" w:eastAsia="zh-CN"/>
        </w:rPr>
        <w:t>毕业生的规模和结构</w:t>
      </w:r>
      <w:bookmarkEnd w:id="2"/>
    </w:p>
    <w:p>
      <w:pPr>
        <w:pStyle w:val="3"/>
        <w:keepNext/>
        <w:keepLines/>
        <w:pageBreakBefore w:val="0"/>
        <w:widowControl w:val="0"/>
        <w:numPr>
          <w:ilvl w:val="0"/>
          <w:numId w:val="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3" w:name="_Toc25529"/>
      <w:r>
        <w:rPr>
          <w:rFonts w:hint="eastAsia" w:ascii="微软雅黑" w:hAnsi="微软雅黑" w:eastAsia="微软雅黑" w:cs="微软雅黑"/>
          <w:b w:val="0"/>
          <w:bCs w:val="0"/>
          <w:sz w:val="28"/>
          <w:szCs w:val="28"/>
        </w:rPr>
        <w:t>总体规模</w:t>
      </w:r>
      <w:bookmarkEnd w:id="3"/>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年学院共有毕业生7</w:t>
      </w:r>
      <w:r>
        <w:rPr>
          <w:rFonts w:ascii="微软雅黑" w:hAnsi="微软雅黑" w:eastAsia="微软雅黑"/>
        </w:rPr>
        <w:t>22</w:t>
      </w:r>
      <w:r>
        <w:rPr>
          <w:rFonts w:hint="eastAsia" w:ascii="微软雅黑" w:hAnsi="微软雅黑" w:eastAsia="微软雅黑"/>
        </w:rPr>
        <w:t>人，分布如图1</w:t>
      </w:r>
      <w:r>
        <w:rPr>
          <w:rFonts w:ascii="微软雅黑" w:hAnsi="微软雅黑" w:eastAsia="微软雅黑"/>
        </w:rPr>
        <w:t>-1</w:t>
      </w:r>
      <w:r>
        <w:rPr>
          <w:rFonts w:hint="eastAsia" w:ascii="微软雅黑" w:hAnsi="微软雅黑" w:eastAsia="微软雅黑"/>
        </w:rPr>
        <w:t>，其中男生2</w:t>
      </w:r>
      <w:r>
        <w:rPr>
          <w:rFonts w:ascii="微软雅黑" w:hAnsi="微软雅黑" w:eastAsia="微软雅黑"/>
        </w:rPr>
        <w:t>64</w:t>
      </w:r>
      <w:r>
        <w:rPr>
          <w:rFonts w:hint="eastAsia" w:ascii="微软雅黑" w:hAnsi="微软雅黑" w:eastAsia="微软雅黑"/>
        </w:rPr>
        <w:t>人，女生4</w:t>
      </w:r>
      <w:r>
        <w:rPr>
          <w:rFonts w:ascii="微软雅黑" w:hAnsi="微软雅黑" w:eastAsia="微软雅黑"/>
        </w:rPr>
        <w:t>58</w:t>
      </w:r>
      <w:r>
        <w:rPr>
          <w:rFonts w:hint="eastAsia" w:ascii="微软雅黑" w:hAnsi="微软雅黑" w:eastAsia="微软雅黑"/>
        </w:rPr>
        <w:t>人，女生人数高于男生，男女生比例0</w:t>
      </w:r>
      <w:r>
        <w:rPr>
          <w:rFonts w:ascii="微软雅黑" w:hAnsi="微软雅黑" w:eastAsia="微软雅黑"/>
        </w:rPr>
        <w:t>.58</w:t>
      </w:r>
      <w:r>
        <w:rPr>
          <w:rFonts w:hint="eastAsia" w:ascii="微软雅黑" w:hAnsi="微软雅黑" w:eastAsia="微软雅黑"/>
        </w:rPr>
        <w:t>:</w:t>
      </w:r>
      <w:r>
        <w:rPr>
          <w:rFonts w:ascii="微软雅黑" w:hAnsi="微软雅黑" w:eastAsia="微软雅黑"/>
        </w:rPr>
        <w:t>1.</w:t>
      </w:r>
    </w:p>
    <w:p>
      <w:pPr>
        <w:pStyle w:val="24"/>
        <w:spacing w:line="360" w:lineRule="auto"/>
        <w:jc w:val="center"/>
        <w:rPr>
          <w:rFonts w:ascii="微软雅黑" w:hAnsi="微软雅黑" w:eastAsia="微软雅黑"/>
        </w:rPr>
      </w:pPr>
      <w:r>
        <w:rPr>
          <w:rFonts w:ascii="微软雅黑" w:hAnsi="微软雅黑" w:eastAsia="微软雅黑"/>
        </w:rPr>
        <w:drawing>
          <wp:inline distT="0" distB="0" distL="0" distR="0">
            <wp:extent cx="3204845" cy="22098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spacing w:line="360" w:lineRule="auto"/>
        <w:ind w:firstLine="400"/>
        <w:jc w:val="center"/>
        <w:rPr>
          <w:rFonts w:hint="eastAsia" w:ascii="微软雅黑" w:hAnsi="微软雅黑" w:eastAsia="微软雅黑"/>
        </w:rPr>
      </w:pPr>
      <w:r>
        <w:rPr>
          <w:rFonts w:hint="eastAsia" w:ascii="微软雅黑" w:hAnsi="微软雅黑" w:eastAsia="微软雅黑"/>
          <w:color w:val="000000"/>
          <w:sz w:val="20"/>
          <w:szCs w:val="20"/>
        </w:rPr>
        <w:t>图1-1   2017年毕业生规模</w:t>
      </w:r>
    </w:p>
    <w:p>
      <w:pPr>
        <w:pStyle w:val="3"/>
        <w:keepNext/>
        <w:keepLines/>
        <w:pageBreakBefore w:val="0"/>
        <w:widowControl w:val="0"/>
        <w:numPr>
          <w:ilvl w:val="0"/>
          <w:numId w:val="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4" w:name="_Toc21247"/>
      <w:r>
        <w:rPr>
          <w:rFonts w:hint="eastAsia" w:ascii="微软雅黑" w:hAnsi="微软雅黑" w:eastAsia="微软雅黑" w:cs="微软雅黑"/>
          <w:b w:val="0"/>
          <w:bCs w:val="0"/>
          <w:sz w:val="28"/>
          <w:szCs w:val="28"/>
        </w:rPr>
        <w:t>结构分布</w:t>
      </w:r>
      <w:bookmarkEnd w:id="4"/>
    </w:p>
    <w:p>
      <w:pPr>
        <w:pStyle w:val="24"/>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学科结构分布</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年学院毕业生分布在3个学科，如图1</w:t>
      </w:r>
      <w:r>
        <w:rPr>
          <w:rFonts w:ascii="微软雅黑" w:hAnsi="微软雅黑" w:eastAsia="微软雅黑"/>
        </w:rPr>
        <w:t>-2</w:t>
      </w:r>
      <w:r>
        <w:rPr>
          <w:rFonts w:hint="eastAsia" w:ascii="微软雅黑" w:hAnsi="微软雅黑" w:eastAsia="微软雅黑"/>
        </w:rPr>
        <w:t>；人数最多的是艺术设计传媒大类6</w:t>
      </w:r>
      <w:r>
        <w:rPr>
          <w:rFonts w:ascii="微软雅黑" w:hAnsi="微软雅黑" w:eastAsia="微软雅黑"/>
        </w:rPr>
        <w:t>70</w:t>
      </w:r>
      <w:r>
        <w:rPr>
          <w:rFonts w:hint="eastAsia" w:ascii="微软雅黑" w:hAnsi="微软雅黑" w:eastAsia="微软雅黑"/>
        </w:rPr>
        <w:t>人，交通运输大类5</w:t>
      </w:r>
      <w:r>
        <w:rPr>
          <w:rFonts w:ascii="微软雅黑" w:hAnsi="微软雅黑" w:eastAsia="微软雅黑"/>
        </w:rPr>
        <w:t>0</w:t>
      </w:r>
      <w:r>
        <w:rPr>
          <w:rFonts w:hint="eastAsia" w:ascii="微软雅黑" w:hAnsi="微软雅黑" w:eastAsia="微软雅黑"/>
        </w:rPr>
        <w:t>人，文化教育类2人。</w:t>
      </w:r>
    </w:p>
    <w:p>
      <w:pPr>
        <w:pStyle w:val="24"/>
        <w:spacing w:line="360" w:lineRule="auto"/>
        <w:ind w:left="0" w:leftChars="0" w:firstLine="0" w:firstLineChars="0"/>
        <w:rPr>
          <w:rFonts w:hint="eastAsia" w:ascii="微软雅黑" w:hAnsi="微软雅黑" w:eastAsia="微软雅黑"/>
        </w:rPr>
      </w:pPr>
      <w:r>
        <w:drawing>
          <wp:inline distT="0" distB="0" distL="114300" distR="114300">
            <wp:extent cx="5758180" cy="2256790"/>
            <wp:effectExtent l="4445" t="4445" r="9525" b="5715"/>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spacing w:line="360" w:lineRule="auto"/>
        <w:jc w:val="center"/>
        <w:rPr>
          <w:rFonts w:hint="eastAsia" w:ascii="微软雅黑" w:hAnsi="微软雅黑" w:eastAsia="微软雅黑"/>
        </w:rPr>
      </w:pPr>
    </w:p>
    <w:p>
      <w:pPr>
        <w:pStyle w:val="24"/>
        <w:spacing w:line="360" w:lineRule="auto"/>
        <w:ind w:left="0" w:leftChars="0" w:firstLine="0" w:firstLineChars="0"/>
        <w:rPr>
          <w:rFonts w:hint="eastAsia" w:ascii="微软雅黑" w:hAnsi="微软雅黑" w:eastAsia="微软雅黑"/>
        </w:rPr>
      </w:pPr>
    </w:p>
    <w:p>
      <w:pPr>
        <w:pStyle w:val="24"/>
        <w:spacing w:line="360" w:lineRule="auto"/>
        <w:ind w:left="0" w:leftChars="0" w:firstLine="0" w:firstLineChars="0"/>
        <w:rPr>
          <w:rFonts w:hint="eastAsia" w:ascii="微软雅黑" w:hAnsi="微软雅黑" w:eastAsia="微软雅黑"/>
        </w:rPr>
      </w:pP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2</w:t>
      </w:r>
      <w:r>
        <w:rPr>
          <w:rFonts w:hint="eastAsia" w:ascii="微软雅黑" w:hAnsi="微软雅黑" w:eastAsia="微软雅黑"/>
          <w:color w:val="000000"/>
          <w:sz w:val="20"/>
          <w:szCs w:val="20"/>
        </w:rPr>
        <w:t xml:space="preserve">   2017年毕业生学科分布</w:t>
      </w:r>
    </w:p>
    <w:p>
      <w:pPr>
        <w:pStyle w:val="24"/>
        <w:spacing w:line="360" w:lineRule="auto"/>
        <w:ind w:left="1260" w:firstLine="0" w:firstLineChars="0"/>
        <w:rPr>
          <w:rFonts w:hint="eastAsia" w:ascii="微软雅黑" w:hAnsi="微软雅黑" w:eastAsia="微软雅黑"/>
          <w:sz w:val="24"/>
          <w:szCs w:val="24"/>
        </w:rPr>
      </w:pPr>
    </w:p>
    <w:p>
      <w:pPr>
        <w:pStyle w:val="24"/>
        <w:spacing w:line="360" w:lineRule="auto"/>
        <w:rPr>
          <w:rFonts w:ascii="微软雅黑" w:hAnsi="微软雅黑" w:eastAsia="微软雅黑"/>
        </w:rPr>
      </w:pPr>
    </w:p>
    <w:p>
      <w:pPr>
        <w:pStyle w:val="24"/>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民族分布</w:t>
      </w:r>
    </w:p>
    <w:p>
      <w:pPr>
        <w:pStyle w:val="24"/>
        <w:spacing w:line="360" w:lineRule="auto"/>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年学院毕业生民族分布中，汉族学生</w:t>
      </w:r>
      <w:r>
        <w:rPr>
          <w:rFonts w:ascii="微软雅黑" w:hAnsi="微软雅黑" w:eastAsia="微软雅黑"/>
        </w:rPr>
        <w:t>714</w:t>
      </w:r>
      <w:r>
        <w:rPr>
          <w:rFonts w:hint="eastAsia" w:ascii="微软雅黑" w:hAnsi="微软雅黑" w:eastAsia="微软雅黑"/>
        </w:rPr>
        <w:t>人（9</w:t>
      </w:r>
      <w:r>
        <w:rPr>
          <w:rFonts w:ascii="微软雅黑" w:hAnsi="微软雅黑" w:eastAsia="微软雅黑"/>
        </w:rPr>
        <w:t>8.89%</w:t>
      </w:r>
      <w:r>
        <w:rPr>
          <w:rFonts w:hint="eastAsia" w:ascii="微软雅黑" w:hAnsi="微软雅黑" w:eastAsia="微软雅黑"/>
        </w:rPr>
        <w:t>），回族8人（1</w:t>
      </w:r>
      <w:r>
        <w:rPr>
          <w:rFonts w:ascii="微软雅黑" w:hAnsi="微软雅黑" w:eastAsia="微软雅黑"/>
        </w:rPr>
        <w:t>.11%</w:t>
      </w:r>
      <w:r>
        <w:rPr>
          <w:rFonts w:hint="eastAsia" w:ascii="微软雅黑" w:hAnsi="微软雅黑" w:eastAsia="微软雅黑"/>
        </w:rPr>
        <w:t>），没有其他少数民族毕业生。</w:t>
      </w:r>
    </w:p>
    <w:p>
      <w:pPr>
        <w:pStyle w:val="24"/>
        <w:spacing w:line="360" w:lineRule="auto"/>
        <w:ind w:left="0" w:leftChars="0" w:firstLine="0" w:firstLineChars="0"/>
      </w:pPr>
      <w:r>
        <w:drawing>
          <wp:inline distT="0" distB="0" distL="114300" distR="114300">
            <wp:extent cx="5770245" cy="2559050"/>
            <wp:effectExtent l="4445" t="4445" r="16510"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3</w:t>
      </w:r>
      <w:r>
        <w:rPr>
          <w:rFonts w:hint="eastAsia" w:ascii="微软雅黑" w:hAnsi="微软雅黑" w:eastAsia="微软雅黑"/>
          <w:color w:val="000000"/>
          <w:sz w:val="20"/>
          <w:szCs w:val="20"/>
        </w:rPr>
        <w:t xml:space="preserve">   2017年毕业生民族分布</w:t>
      </w:r>
    </w:p>
    <w:p>
      <w:pPr>
        <w:pStyle w:val="24"/>
        <w:spacing w:line="360" w:lineRule="auto"/>
        <w:jc w:val="center"/>
        <w:rPr>
          <w:rFonts w:hint="eastAsia" w:ascii="微软雅黑" w:hAnsi="微软雅黑" w:eastAsia="微软雅黑"/>
        </w:rPr>
      </w:pPr>
    </w:p>
    <w:p>
      <w:pPr>
        <w:pStyle w:val="24"/>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生源地区域分布</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年学院毕业生生源地分布在5个省，如图1</w:t>
      </w:r>
      <w:r>
        <w:rPr>
          <w:rFonts w:ascii="微软雅黑" w:hAnsi="微软雅黑" w:eastAsia="微软雅黑"/>
        </w:rPr>
        <w:t>-5</w:t>
      </w:r>
      <w:r>
        <w:rPr>
          <w:rFonts w:hint="eastAsia" w:ascii="微软雅黑" w:hAnsi="微软雅黑" w:eastAsia="微软雅黑"/>
        </w:rPr>
        <w:t>；安徽省人数最多为6</w:t>
      </w:r>
      <w:r>
        <w:rPr>
          <w:rFonts w:ascii="微软雅黑" w:hAnsi="微软雅黑" w:eastAsia="微软雅黑"/>
        </w:rPr>
        <w:t>98</w:t>
      </w:r>
      <w:r>
        <w:rPr>
          <w:rFonts w:hint="eastAsia" w:ascii="微软雅黑" w:hAnsi="微软雅黑" w:eastAsia="微软雅黑"/>
        </w:rPr>
        <w:t>人，其次是江西省2</w:t>
      </w:r>
      <w:r>
        <w:rPr>
          <w:rFonts w:ascii="微软雅黑" w:hAnsi="微软雅黑" w:eastAsia="微软雅黑"/>
        </w:rPr>
        <w:t>9</w:t>
      </w:r>
      <w:r>
        <w:rPr>
          <w:rFonts w:hint="eastAsia" w:ascii="微软雅黑" w:hAnsi="微软雅黑" w:eastAsia="微软雅黑"/>
        </w:rPr>
        <w:t>人，河南省2热，湖北省和广东省各1人。</w:t>
      </w:r>
    </w:p>
    <w:p>
      <w:pPr>
        <w:pStyle w:val="24"/>
        <w:spacing w:line="360" w:lineRule="auto"/>
        <w:jc w:val="center"/>
        <w:rPr>
          <w:rFonts w:ascii="微软雅黑" w:hAnsi="微软雅黑" w:eastAsia="微软雅黑"/>
        </w:rPr>
      </w:pPr>
    </w:p>
    <w:p>
      <w:pPr>
        <w:pStyle w:val="24"/>
        <w:spacing w:line="360" w:lineRule="auto"/>
        <w:jc w:val="center"/>
        <w:rPr>
          <w:rFonts w:ascii="微软雅黑" w:hAnsi="微软雅黑" w:eastAsia="微软雅黑"/>
        </w:rPr>
      </w:pPr>
    </w:p>
    <w:p>
      <w:pPr>
        <w:pStyle w:val="24"/>
        <w:spacing w:line="360" w:lineRule="auto"/>
        <w:jc w:val="center"/>
        <w:rPr>
          <w:rFonts w:ascii="微软雅黑" w:hAnsi="微软雅黑" w:eastAsia="微软雅黑"/>
        </w:rPr>
      </w:pPr>
    </w:p>
    <w:p>
      <w:pPr>
        <w:pStyle w:val="24"/>
        <w:spacing w:line="360" w:lineRule="auto"/>
        <w:ind w:left="0" w:leftChars="0" w:firstLine="0" w:firstLineChars="0"/>
        <w:jc w:val="both"/>
        <w:rPr>
          <w:rFonts w:ascii="微软雅黑" w:hAnsi="微软雅黑" w:eastAsia="微软雅黑"/>
        </w:rPr>
      </w:pP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30240" cy="2771775"/>
            <wp:effectExtent l="4445" t="4445" r="18415" b="50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4</w:t>
      </w:r>
      <w:r>
        <w:rPr>
          <w:rFonts w:hint="eastAsia" w:ascii="微软雅黑" w:hAnsi="微软雅黑" w:eastAsia="微软雅黑"/>
          <w:color w:val="000000"/>
          <w:sz w:val="20"/>
          <w:szCs w:val="20"/>
        </w:rPr>
        <w:t xml:space="preserve">   2017年毕业生生源地区域分布</w:t>
      </w:r>
    </w:p>
    <w:p>
      <w:pPr>
        <w:pStyle w:val="24"/>
        <w:spacing w:line="360" w:lineRule="auto"/>
        <w:jc w:val="center"/>
        <w:rPr>
          <w:rFonts w:hint="eastAsia" w:ascii="微软雅黑" w:hAnsi="微软雅黑" w:eastAsia="微软雅黑"/>
        </w:rPr>
      </w:pPr>
    </w:p>
    <w:p>
      <w:pPr>
        <w:pStyle w:val="24"/>
        <w:numPr>
          <w:ilvl w:val="0"/>
          <w:numId w:val="3"/>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安徽省生源分布</w:t>
      </w:r>
    </w:p>
    <w:p>
      <w:pPr>
        <w:pStyle w:val="24"/>
        <w:spacing w:line="360" w:lineRule="auto"/>
        <w:rPr>
          <w:rFonts w:hint="eastAsia"/>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年学院毕业生安徽省生源分布如图1</w:t>
      </w:r>
      <w:r>
        <w:rPr>
          <w:rFonts w:ascii="微软雅黑" w:hAnsi="微软雅黑" w:eastAsia="微软雅黑"/>
        </w:rPr>
        <w:t>-5</w:t>
      </w:r>
      <w:r>
        <w:rPr>
          <w:rFonts w:hint="eastAsia" w:ascii="微软雅黑" w:hAnsi="微软雅黑" w:eastAsia="微软雅黑"/>
        </w:rPr>
        <w:t>，省内生源来自1</w:t>
      </w:r>
      <w:r>
        <w:rPr>
          <w:rFonts w:ascii="微软雅黑" w:hAnsi="微软雅黑" w:eastAsia="微软雅黑"/>
        </w:rPr>
        <w:t>6</w:t>
      </w:r>
      <w:r>
        <w:rPr>
          <w:rFonts w:hint="eastAsia" w:ascii="微软雅黑" w:hAnsi="微软雅黑" w:eastAsia="微软雅黑"/>
        </w:rPr>
        <w:t>个城市，省会合肥市毕业生生源最多为1</w:t>
      </w:r>
      <w:r>
        <w:rPr>
          <w:rFonts w:ascii="微软雅黑" w:hAnsi="微软雅黑" w:eastAsia="微软雅黑"/>
        </w:rPr>
        <w:t>68</w:t>
      </w:r>
      <w:r>
        <w:rPr>
          <w:rFonts w:hint="eastAsia" w:ascii="微软雅黑" w:hAnsi="微软雅黑" w:eastAsia="微软雅黑"/>
        </w:rPr>
        <w:t>人，占比2</w:t>
      </w:r>
      <w:r>
        <w:rPr>
          <w:rFonts w:ascii="微软雅黑" w:hAnsi="微软雅黑" w:eastAsia="微软雅黑"/>
        </w:rPr>
        <w:t>4.38%</w:t>
      </w:r>
      <w:r>
        <w:rPr>
          <w:rFonts w:hint="eastAsia" w:ascii="微软雅黑" w:hAnsi="微软雅黑" w:eastAsia="微软雅黑"/>
        </w:rPr>
        <w:t>，其次是阜阳市7</w:t>
      </w:r>
      <w:r>
        <w:rPr>
          <w:rFonts w:ascii="微软雅黑" w:hAnsi="微软雅黑" w:eastAsia="微软雅黑"/>
        </w:rPr>
        <w:t>0</w:t>
      </w:r>
      <w:r>
        <w:rPr>
          <w:rFonts w:hint="eastAsia" w:ascii="微软雅黑" w:hAnsi="微软雅黑" w:eastAsia="微软雅黑"/>
        </w:rPr>
        <w:t>人，六安市6</w:t>
      </w:r>
      <w:r>
        <w:rPr>
          <w:rFonts w:ascii="微软雅黑" w:hAnsi="微软雅黑" w:eastAsia="微软雅黑"/>
        </w:rPr>
        <w:t>7</w:t>
      </w:r>
      <w:r>
        <w:rPr>
          <w:rFonts w:hint="eastAsia" w:ascii="微软雅黑" w:hAnsi="微软雅黑" w:eastAsia="微软雅黑"/>
        </w:rPr>
        <w:t>人。</w:t>
      </w:r>
    </w:p>
    <w:p>
      <w:pPr>
        <w:pStyle w:val="24"/>
        <w:spacing w:line="360" w:lineRule="auto"/>
        <w:ind w:left="0" w:leftChars="0" w:firstLine="0" w:firstLineChars="0"/>
        <w:rPr>
          <w:rFonts w:hint="eastAsia" w:ascii="微软雅黑" w:hAnsi="微软雅黑" w:eastAsia="微软雅黑"/>
        </w:rPr>
      </w:pPr>
      <w:r>
        <w:drawing>
          <wp:inline distT="0" distB="0" distL="114300" distR="114300">
            <wp:extent cx="5728970" cy="2914650"/>
            <wp:effectExtent l="4445" t="4445" r="19685" b="14605"/>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4"/>
        <w:spacing w:line="360" w:lineRule="auto"/>
        <w:jc w:val="center"/>
        <w:rPr>
          <w:rFonts w:ascii="微软雅黑" w:hAnsi="微软雅黑" w:eastAsia="微软雅黑"/>
        </w:rPr>
      </w:pP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5</w:t>
      </w:r>
      <w:r>
        <w:rPr>
          <w:rFonts w:hint="eastAsia" w:ascii="微软雅黑" w:hAnsi="微软雅黑" w:eastAsia="微软雅黑"/>
          <w:color w:val="000000"/>
          <w:sz w:val="20"/>
          <w:szCs w:val="20"/>
        </w:rPr>
        <w:t xml:space="preserve">   2017年毕业生安徽省生源分布</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5" w:name="_Toc21950"/>
      <w:r>
        <w:rPr>
          <w:rFonts w:hint="eastAsia" w:ascii="微软雅黑" w:hAnsi="微软雅黑" w:eastAsia="微软雅黑" w:cs="微软雅黑"/>
          <w:b w:val="0"/>
          <w:bCs w:val="0"/>
          <w:sz w:val="30"/>
          <w:szCs w:val="30"/>
          <w:lang w:val="en-US" w:eastAsia="zh-CN"/>
        </w:rPr>
        <w:t>就业率</w:t>
      </w:r>
      <w:bookmarkEnd w:id="5"/>
    </w:p>
    <w:p>
      <w:pPr>
        <w:pStyle w:val="3"/>
        <w:keepNext/>
        <w:keepLines/>
        <w:pageBreakBefore w:val="0"/>
        <w:widowControl w:val="0"/>
        <w:numPr>
          <w:ilvl w:val="0"/>
          <w:numId w:val="4"/>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6" w:name="_Toc23869"/>
      <w:r>
        <w:rPr>
          <w:rFonts w:hint="eastAsia" w:ascii="微软雅黑" w:hAnsi="微软雅黑" w:eastAsia="微软雅黑" w:cs="微软雅黑"/>
          <w:b w:val="0"/>
          <w:bCs w:val="0"/>
          <w:sz w:val="28"/>
          <w:szCs w:val="28"/>
        </w:rPr>
        <w:t>总体就业率</w:t>
      </w:r>
      <w:bookmarkEnd w:id="6"/>
    </w:p>
    <w:p>
      <w:pPr>
        <w:pStyle w:val="24"/>
        <w:numPr>
          <w:ilvl w:val="0"/>
          <w:numId w:val="5"/>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男女生就业率</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年学院毕业生总体就业率9</w:t>
      </w:r>
      <w:r>
        <w:rPr>
          <w:rFonts w:ascii="微软雅黑" w:hAnsi="微软雅黑" w:eastAsia="微软雅黑"/>
        </w:rPr>
        <w:t>4.32%</w:t>
      </w:r>
      <w:r>
        <w:rPr>
          <w:rFonts w:hint="eastAsia" w:ascii="微软雅黑" w:hAnsi="微软雅黑" w:eastAsia="微软雅黑"/>
        </w:rPr>
        <w:t>，如图1</w:t>
      </w:r>
      <w:r>
        <w:rPr>
          <w:rFonts w:ascii="微软雅黑" w:hAnsi="微软雅黑" w:eastAsia="微软雅黑"/>
        </w:rPr>
        <w:t>-6</w:t>
      </w:r>
      <w:r>
        <w:rPr>
          <w:rFonts w:hint="eastAsia" w:ascii="微软雅黑" w:hAnsi="微软雅黑" w:eastAsia="微软雅黑"/>
        </w:rPr>
        <w:t>；其中男生就业率9</w:t>
      </w:r>
      <w:r>
        <w:rPr>
          <w:rFonts w:ascii="微软雅黑" w:hAnsi="微软雅黑" w:eastAsia="微软雅黑"/>
        </w:rPr>
        <w:t>6.21%</w:t>
      </w:r>
      <w:r>
        <w:rPr>
          <w:rFonts w:hint="eastAsia" w:ascii="微软雅黑" w:hAnsi="微软雅黑" w:eastAsia="微软雅黑"/>
        </w:rPr>
        <w:t>，女生就业率9</w:t>
      </w:r>
      <w:r>
        <w:rPr>
          <w:rFonts w:ascii="微软雅黑" w:hAnsi="微软雅黑" w:eastAsia="微软雅黑"/>
        </w:rPr>
        <w:t>3.23%</w:t>
      </w:r>
      <w:r>
        <w:rPr>
          <w:rFonts w:hint="eastAsia" w:ascii="微软雅黑" w:hAnsi="微软雅黑" w:eastAsia="微软雅黑"/>
        </w:rPr>
        <w:t>。</w:t>
      </w:r>
    </w:p>
    <w:p>
      <w:pPr>
        <w:pStyle w:val="24"/>
        <w:spacing w:line="360" w:lineRule="auto"/>
        <w:ind w:left="0" w:leftChars="0" w:firstLine="0" w:firstLineChars="0"/>
        <w:rPr>
          <w:rFonts w:ascii="微软雅黑" w:hAnsi="微软雅黑" w:eastAsia="微软雅黑"/>
        </w:rPr>
      </w:pPr>
      <w:r>
        <w:drawing>
          <wp:inline distT="0" distB="0" distL="114300" distR="114300">
            <wp:extent cx="5767705" cy="2519680"/>
            <wp:effectExtent l="4445" t="4445" r="19050" b="952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6</w:t>
      </w:r>
      <w:r>
        <w:rPr>
          <w:rFonts w:hint="eastAsia" w:ascii="微软雅黑" w:hAnsi="微软雅黑" w:eastAsia="微软雅黑"/>
          <w:color w:val="000000"/>
          <w:sz w:val="20"/>
          <w:szCs w:val="20"/>
        </w:rPr>
        <w:t xml:space="preserve">   2017年毕业生就业率分布</w:t>
      </w:r>
    </w:p>
    <w:p>
      <w:pPr>
        <w:pStyle w:val="24"/>
        <w:numPr>
          <w:ilvl w:val="0"/>
          <w:numId w:val="5"/>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各</w:t>
      </w:r>
      <w:r>
        <w:rPr>
          <w:rFonts w:hint="eastAsia" w:ascii="微软雅黑" w:hAnsi="微软雅黑" w:eastAsia="微软雅黑"/>
          <w:sz w:val="24"/>
          <w:szCs w:val="24"/>
          <w:lang w:val="en-US" w:eastAsia="zh-CN"/>
        </w:rPr>
        <w:t>系部</w:t>
      </w:r>
      <w:r>
        <w:rPr>
          <w:rFonts w:hint="eastAsia" w:ascii="微软雅黑" w:hAnsi="微软雅黑" w:eastAsia="微软雅黑"/>
          <w:sz w:val="24"/>
          <w:szCs w:val="24"/>
        </w:rPr>
        <w:t>就业率</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年学院各系就业率分布如图1</w:t>
      </w:r>
      <w:r>
        <w:rPr>
          <w:rFonts w:ascii="微软雅黑" w:hAnsi="微软雅黑" w:eastAsia="微软雅黑"/>
        </w:rPr>
        <w:t>-7</w:t>
      </w:r>
      <w:r>
        <w:rPr>
          <w:rFonts w:hint="eastAsia" w:ascii="微软雅黑" w:hAnsi="微软雅黑" w:eastAsia="微软雅黑"/>
        </w:rPr>
        <w:t>，就业率排名前三的院系分别是：滁州分校实现百分百就业，美术史（9</w:t>
      </w:r>
      <w:r>
        <w:rPr>
          <w:rFonts w:ascii="微软雅黑" w:hAnsi="微软雅黑" w:eastAsia="微软雅黑"/>
        </w:rPr>
        <w:t>6.9%</w:t>
      </w:r>
      <w:r>
        <w:rPr>
          <w:rFonts w:hint="eastAsia" w:ascii="微软雅黑" w:hAnsi="微软雅黑" w:eastAsia="微软雅黑"/>
        </w:rPr>
        <w:t>）位居第二，综艺系（9</w:t>
      </w:r>
      <w:r>
        <w:rPr>
          <w:rFonts w:ascii="微软雅黑" w:hAnsi="微软雅黑" w:eastAsia="微软雅黑"/>
        </w:rPr>
        <w:t>6.72%</w:t>
      </w:r>
      <w:r>
        <w:rPr>
          <w:rFonts w:hint="eastAsia" w:ascii="微软雅黑" w:hAnsi="微软雅黑" w:eastAsia="微软雅黑"/>
        </w:rPr>
        <w:t>）位居第三。</w:t>
      </w:r>
    </w:p>
    <w:p>
      <w:pPr>
        <w:pStyle w:val="24"/>
        <w:spacing w:line="360" w:lineRule="auto"/>
        <w:ind w:left="0" w:leftChars="0" w:firstLine="0" w:firstLineChars="0"/>
      </w:pPr>
    </w:p>
    <w:p>
      <w:pPr>
        <w:pStyle w:val="24"/>
        <w:spacing w:line="360" w:lineRule="auto"/>
        <w:ind w:left="0" w:leftChars="0" w:firstLine="0" w:firstLineChars="0"/>
      </w:pPr>
      <w:r>
        <w:drawing>
          <wp:inline distT="0" distB="0" distL="114300" distR="114300">
            <wp:extent cx="5772150" cy="2990215"/>
            <wp:effectExtent l="4445" t="4445" r="14605" b="15240"/>
            <wp:docPr id="2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7</w:t>
      </w:r>
      <w:r>
        <w:rPr>
          <w:rFonts w:hint="eastAsia" w:ascii="微软雅黑" w:hAnsi="微软雅黑" w:eastAsia="微软雅黑"/>
          <w:color w:val="000000"/>
          <w:sz w:val="20"/>
          <w:szCs w:val="20"/>
        </w:rPr>
        <w:t xml:space="preserve">  2017年毕业生各</w:t>
      </w:r>
      <w:r>
        <w:rPr>
          <w:rFonts w:hint="eastAsia" w:ascii="微软雅黑" w:hAnsi="微软雅黑" w:eastAsia="微软雅黑"/>
          <w:color w:val="000000"/>
          <w:sz w:val="20"/>
          <w:szCs w:val="20"/>
          <w:lang w:val="en-US" w:eastAsia="zh-CN"/>
        </w:rPr>
        <w:t>系部</w:t>
      </w:r>
      <w:r>
        <w:rPr>
          <w:rFonts w:hint="eastAsia" w:ascii="微软雅黑" w:hAnsi="微软雅黑" w:eastAsia="微软雅黑"/>
          <w:color w:val="000000"/>
          <w:sz w:val="20"/>
          <w:szCs w:val="20"/>
        </w:rPr>
        <w:t>就业率分布</w:t>
      </w:r>
    </w:p>
    <w:p>
      <w:pPr>
        <w:pStyle w:val="3"/>
        <w:keepNext/>
        <w:keepLines/>
        <w:pageBreakBefore w:val="0"/>
        <w:widowControl w:val="0"/>
        <w:numPr>
          <w:ilvl w:val="0"/>
          <w:numId w:val="4"/>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7" w:name="_Toc21309"/>
      <w:r>
        <w:rPr>
          <w:rFonts w:hint="eastAsia" w:ascii="微软雅黑" w:hAnsi="微软雅黑" w:eastAsia="微软雅黑" w:cs="微软雅黑"/>
          <w:b w:val="0"/>
          <w:bCs w:val="0"/>
          <w:sz w:val="28"/>
          <w:szCs w:val="28"/>
        </w:rPr>
        <w:t>面向基层就业情况分布</w:t>
      </w:r>
      <w:bookmarkEnd w:id="7"/>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年学院仅1人面向西部地区就业。</w:t>
      </w:r>
    </w:p>
    <w:p>
      <w:pPr>
        <w:pStyle w:val="3"/>
        <w:keepNext/>
        <w:keepLines/>
        <w:pageBreakBefore w:val="0"/>
        <w:widowControl w:val="0"/>
        <w:numPr>
          <w:ilvl w:val="0"/>
          <w:numId w:val="4"/>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8" w:name="_Toc22707"/>
      <w:r>
        <w:rPr>
          <w:rFonts w:hint="eastAsia" w:ascii="微软雅黑" w:hAnsi="微软雅黑" w:eastAsia="微软雅黑" w:cs="微软雅黑"/>
          <w:b w:val="0"/>
          <w:bCs w:val="0"/>
          <w:sz w:val="28"/>
          <w:szCs w:val="28"/>
        </w:rPr>
        <w:t>未就业分析</w:t>
      </w:r>
      <w:bookmarkEnd w:id="8"/>
    </w:p>
    <w:p>
      <w:pPr>
        <w:pStyle w:val="24"/>
        <w:numPr>
          <w:ilvl w:val="0"/>
          <w:numId w:val="6"/>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未就业学历性别分布</w:t>
      </w:r>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年学院未就业率分布如图1</w:t>
      </w:r>
      <w:r>
        <w:rPr>
          <w:rFonts w:ascii="微软雅黑" w:hAnsi="微软雅黑" w:eastAsia="微软雅黑"/>
        </w:rPr>
        <w:t>-8</w:t>
      </w:r>
      <w:r>
        <w:rPr>
          <w:rFonts w:hint="eastAsia" w:ascii="微软雅黑" w:hAnsi="微软雅黑" w:eastAsia="微软雅黑"/>
        </w:rPr>
        <w:t>，总体未就业率为5</w:t>
      </w:r>
      <w:r>
        <w:rPr>
          <w:rFonts w:ascii="微软雅黑" w:hAnsi="微软雅黑" w:eastAsia="微软雅黑"/>
        </w:rPr>
        <w:t>.68%</w:t>
      </w:r>
      <w:r>
        <w:rPr>
          <w:rFonts w:hint="eastAsia" w:ascii="微软雅黑" w:hAnsi="微软雅黑" w:eastAsia="微软雅黑"/>
        </w:rPr>
        <w:t>，男生未就业率3</w:t>
      </w:r>
      <w:r>
        <w:rPr>
          <w:rFonts w:ascii="微软雅黑" w:hAnsi="微软雅黑" w:eastAsia="微软雅黑"/>
        </w:rPr>
        <w:t>.79%</w:t>
      </w:r>
      <w:r>
        <w:rPr>
          <w:rFonts w:hint="eastAsia" w:ascii="微软雅黑" w:hAnsi="微软雅黑" w:eastAsia="微软雅黑"/>
        </w:rPr>
        <w:t>，女生未就业率6</w:t>
      </w:r>
      <w:r>
        <w:rPr>
          <w:rFonts w:ascii="微软雅黑" w:hAnsi="微软雅黑" w:eastAsia="微软雅黑"/>
        </w:rPr>
        <w:t>.77%</w:t>
      </w:r>
      <w:r>
        <w:rPr>
          <w:rFonts w:hint="eastAsia" w:ascii="微软雅黑" w:hAnsi="微软雅黑" w:eastAsia="微软雅黑"/>
        </w:rPr>
        <w:t>。</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70880" cy="2505075"/>
            <wp:effectExtent l="4445" t="4445" r="15875" b="508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8</w:t>
      </w:r>
      <w:r>
        <w:rPr>
          <w:rFonts w:hint="eastAsia" w:ascii="微软雅黑" w:hAnsi="微软雅黑" w:eastAsia="微软雅黑"/>
          <w:color w:val="000000"/>
          <w:sz w:val="20"/>
          <w:szCs w:val="20"/>
        </w:rPr>
        <w:t xml:space="preserve">  2017年毕业生未就业率性别分布</w:t>
      </w:r>
    </w:p>
    <w:p>
      <w:pPr>
        <w:pStyle w:val="24"/>
        <w:numPr>
          <w:ilvl w:val="0"/>
          <w:numId w:val="6"/>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未就业院系分布</w:t>
      </w:r>
    </w:p>
    <w:p>
      <w:pPr>
        <w:pStyle w:val="24"/>
        <w:spacing w:line="360" w:lineRule="auto"/>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年学院未就业率院系分布如图1</w:t>
      </w:r>
      <w:r>
        <w:rPr>
          <w:rFonts w:ascii="微软雅黑" w:hAnsi="微软雅黑" w:eastAsia="微软雅黑"/>
        </w:rPr>
        <w:t>-9</w:t>
      </w:r>
      <w:r>
        <w:rPr>
          <w:rFonts w:hint="eastAsia" w:ascii="微软雅黑" w:hAnsi="微软雅黑" w:eastAsia="微软雅黑"/>
        </w:rPr>
        <w:t>，未就业率最高的三个院系分别是：戏曲系（1</w:t>
      </w:r>
      <w:r>
        <w:rPr>
          <w:rFonts w:ascii="微软雅黑" w:hAnsi="微软雅黑" w:eastAsia="微软雅黑"/>
        </w:rPr>
        <w:t>6.67%</w:t>
      </w:r>
      <w:r>
        <w:rPr>
          <w:rFonts w:hint="eastAsia" w:ascii="微软雅黑" w:hAnsi="微软雅黑" w:eastAsia="微软雅黑"/>
        </w:rPr>
        <w:t>）、音乐系（1</w:t>
      </w:r>
      <w:r>
        <w:rPr>
          <w:rFonts w:ascii="微软雅黑" w:hAnsi="微软雅黑" w:eastAsia="微软雅黑"/>
        </w:rPr>
        <w:t>1.32%</w:t>
      </w:r>
      <w:r>
        <w:rPr>
          <w:rFonts w:hint="eastAsia" w:ascii="微软雅黑" w:hAnsi="微软雅黑" w:eastAsia="微软雅黑"/>
        </w:rPr>
        <w:t>）、舞蹈系（6</w:t>
      </w:r>
      <w:r>
        <w:rPr>
          <w:rFonts w:ascii="微软雅黑" w:hAnsi="微软雅黑" w:eastAsia="微软雅黑"/>
        </w:rPr>
        <w:t>.00%</w:t>
      </w:r>
      <w:r>
        <w:rPr>
          <w:rFonts w:hint="eastAsia" w:ascii="微软雅黑" w:hAnsi="微软雅黑" w:eastAsia="微软雅黑"/>
        </w:rPr>
        <w:t>）。</w:t>
      </w:r>
    </w:p>
    <w:p>
      <w:pPr>
        <w:pStyle w:val="24"/>
        <w:spacing w:line="360" w:lineRule="auto"/>
        <w:ind w:left="0" w:leftChars="0" w:firstLine="0" w:firstLineChars="0"/>
        <w:jc w:val="both"/>
      </w:pPr>
      <w:r>
        <w:drawing>
          <wp:inline distT="0" distB="0" distL="114300" distR="114300">
            <wp:extent cx="5770245" cy="2753995"/>
            <wp:effectExtent l="4445" t="4445" r="16510" b="22860"/>
            <wp:docPr id="2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 xml:space="preserve">9  </w:t>
      </w:r>
      <w:r>
        <w:rPr>
          <w:rFonts w:hint="eastAsia" w:ascii="微软雅黑" w:hAnsi="微软雅黑" w:eastAsia="微软雅黑"/>
          <w:color w:val="000000"/>
          <w:sz w:val="20"/>
          <w:szCs w:val="20"/>
        </w:rPr>
        <w:t>2017年毕业生未就业院系分布</w:t>
      </w:r>
    </w:p>
    <w:p>
      <w:pPr>
        <w:pStyle w:val="24"/>
        <w:numPr>
          <w:ilvl w:val="0"/>
          <w:numId w:val="6"/>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未就业原因分析</w:t>
      </w:r>
    </w:p>
    <w:p>
      <w:pPr>
        <w:pStyle w:val="24"/>
        <w:spacing w:line="360" w:lineRule="auto"/>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年学院未就业原因分布如图1</w:t>
      </w:r>
      <w:r>
        <w:rPr>
          <w:rFonts w:ascii="微软雅黑" w:hAnsi="微软雅黑" w:eastAsia="微软雅黑"/>
        </w:rPr>
        <w:t>-10</w:t>
      </w:r>
      <w:r>
        <w:rPr>
          <w:rFonts w:hint="eastAsia" w:ascii="微软雅黑" w:hAnsi="微软雅黑" w:eastAsia="微软雅黑"/>
        </w:rPr>
        <w:t>，未就业原因中求职中比例最高，为9</w:t>
      </w:r>
      <w:r>
        <w:rPr>
          <w:rFonts w:ascii="微软雅黑" w:hAnsi="微软雅黑" w:eastAsia="微软雅黑"/>
        </w:rPr>
        <w:t>7.56%</w:t>
      </w:r>
      <w:r>
        <w:rPr>
          <w:rFonts w:hint="eastAsia" w:ascii="微软雅黑" w:hAnsi="微软雅黑" w:eastAsia="微软雅黑"/>
        </w:rPr>
        <w:t>；拟升学达到2</w:t>
      </w:r>
      <w:r>
        <w:rPr>
          <w:rFonts w:ascii="微软雅黑" w:hAnsi="微软雅黑" w:eastAsia="微软雅黑"/>
        </w:rPr>
        <w:t>.44%</w:t>
      </w:r>
      <w:r>
        <w:rPr>
          <w:rFonts w:hint="eastAsia" w:ascii="微软雅黑" w:hAnsi="微软雅黑" w:eastAsia="微软雅黑"/>
        </w:rPr>
        <w:t>。</w:t>
      </w:r>
    </w:p>
    <w:p>
      <w:pPr>
        <w:pStyle w:val="24"/>
        <w:spacing w:line="360" w:lineRule="auto"/>
        <w:ind w:left="0" w:leftChars="0" w:firstLine="0" w:firstLineChars="0"/>
        <w:jc w:val="both"/>
      </w:pPr>
      <w:r>
        <w:drawing>
          <wp:inline distT="0" distB="0" distL="114300" distR="114300">
            <wp:extent cx="5771515" cy="2781300"/>
            <wp:effectExtent l="4445" t="4445" r="15240" b="14605"/>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 xml:space="preserve">10  </w:t>
      </w:r>
      <w:r>
        <w:rPr>
          <w:rFonts w:hint="eastAsia" w:ascii="微软雅黑" w:hAnsi="微软雅黑" w:eastAsia="微软雅黑"/>
          <w:color w:val="000000"/>
          <w:sz w:val="20"/>
          <w:szCs w:val="20"/>
        </w:rPr>
        <w:t>2017年毕业生未就业原因分布</w:t>
      </w:r>
    </w:p>
    <w:p>
      <w:pPr>
        <w:pStyle w:val="24"/>
        <w:spacing w:line="360" w:lineRule="auto"/>
        <w:jc w:val="center"/>
        <w:rPr>
          <w:rFonts w:hint="eastAsia" w:ascii="微软雅黑" w:hAnsi="微软雅黑" w:eastAsia="微软雅黑"/>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9" w:name="_Toc11042"/>
      <w:r>
        <w:rPr>
          <w:rFonts w:hint="eastAsia" w:ascii="微软雅黑" w:hAnsi="微软雅黑" w:eastAsia="微软雅黑" w:cs="微软雅黑"/>
          <w:b w:val="0"/>
          <w:bCs w:val="0"/>
          <w:sz w:val="30"/>
          <w:szCs w:val="30"/>
          <w:lang w:val="en-US" w:eastAsia="zh-CN"/>
        </w:rPr>
        <w:t>毕业流向</w:t>
      </w:r>
      <w:bookmarkEnd w:id="9"/>
    </w:p>
    <w:p>
      <w:pPr>
        <w:pStyle w:val="3"/>
        <w:keepNext/>
        <w:keepLines/>
        <w:pageBreakBefore w:val="0"/>
        <w:widowControl w:val="0"/>
        <w:numPr>
          <w:ilvl w:val="0"/>
          <w:numId w:val="7"/>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0" w:name="_Toc32718"/>
      <w:r>
        <w:rPr>
          <w:rFonts w:hint="eastAsia" w:ascii="微软雅黑" w:hAnsi="微软雅黑" w:eastAsia="微软雅黑" w:cs="微软雅黑"/>
          <w:b w:val="0"/>
          <w:bCs w:val="0"/>
          <w:sz w:val="28"/>
          <w:szCs w:val="28"/>
        </w:rPr>
        <w:t>毕业去向分析</w:t>
      </w:r>
      <w:bookmarkEnd w:id="10"/>
    </w:p>
    <w:p>
      <w:pPr>
        <w:pStyle w:val="24"/>
        <w:spacing w:line="360" w:lineRule="auto"/>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年学院毕业去向分布如图1</w:t>
      </w:r>
      <w:r>
        <w:rPr>
          <w:rFonts w:ascii="微软雅黑" w:hAnsi="微软雅黑" w:eastAsia="微软雅黑"/>
        </w:rPr>
        <w:t>-11</w:t>
      </w:r>
      <w:r>
        <w:rPr>
          <w:rFonts w:hint="eastAsia" w:ascii="微软雅黑" w:hAnsi="微软雅黑" w:eastAsia="微软雅黑"/>
        </w:rPr>
        <w:t>，毕业生中签就业协议形式就业达到8</w:t>
      </w:r>
      <w:r>
        <w:rPr>
          <w:rFonts w:ascii="微软雅黑" w:hAnsi="微软雅黑" w:eastAsia="微软雅黑"/>
        </w:rPr>
        <w:t>1.72%</w:t>
      </w:r>
      <w:r>
        <w:rPr>
          <w:rFonts w:hint="eastAsia" w:ascii="微软雅黑" w:hAnsi="微软雅黑" w:eastAsia="微软雅黑"/>
        </w:rPr>
        <w:t>，是学院毕业生毕业后主要去向。其次升学，占比6</w:t>
      </w:r>
      <w:r>
        <w:rPr>
          <w:rFonts w:ascii="微软雅黑" w:hAnsi="微软雅黑" w:eastAsia="微软雅黑"/>
        </w:rPr>
        <w:t>.93%</w:t>
      </w:r>
      <w:r>
        <w:rPr>
          <w:rFonts w:hint="eastAsia" w:ascii="微软雅黑" w:hAnsi="微软雅黑" w:eastAsia="微软雅黑"/>
        </w:rPr>
        <w:t>。</w:t>
      </w:r>
    </w:p>
    <w:p>
      <w:pPr>
        <w:pStyle w:val="24"/>
        <w:spacing w:line="360" w:lineRule="auto"/>
        <w:ind w:left="0" w:leftChars="0" w:firstLine="0" w:firstLineChars="0"/>
        <w:jc w:val="both"/>
      </w:pPr>
      <w:r>
        <w:drawing>
          <wp:inline distT="0" distB="0" distL="114300" distR="114300">
            <wp:extent cx="5769610" cy="2548890"/>
            <wp:effectExtent l="4445" t="4445" r="17145" b="18415"/>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11</w:t>
      </w:r>
      <w:r>
        <w:rPr>
          <w:rFonts w:hint="eastAsia" w:ascii="微软雅黑" w:hAnsi="微软雅黑" w:eastAsia="微软雅黑"/>
          <w:color w:val="000000"/>
          <w:sz w:val="20"/>
          <w:szCs w:val="20"/>
        </w:rPr>
        <w:t xml:space="preserve">  2017年毕业生总体去向分布</w:t>
      </w:r>
    </w:p>
    <w:p>
      <w:pPr>
        <w:pStyle w:val="3"/>
        <w:keepNext/>
        <w:keepLines/>
        <w:pageBreakBefore w:val="0"/>
        <w:widowControl w:val="0"/>
        <w:numPr>
          <w:ilvl w:val="0"/>
          <w:numId w:val="7"/>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1" w:name="_Toc143"/>
      <w:r>
        <w:rPr>
          <w:rFonts w:hint="eastAsia" w:ascii="微软雅黑" w:hAnsi="微软雅黑" w:eastAsia="微软雅黑" w:cs="微软雅黑"/>
          <w:b w:val="0"/>
          <w:bCs w:val="0"/>
          <w:sz w:val="28"/>
          <w:szCs w:val="28"/>
        </w:rPr>
        <w:t>单位行业分析</w:t>
      </w:r>
      <w:bookmarkEnd w:id="11"/>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年学院毕业生就业单位行业分布如图1</w:t>
      </w:r>
      <w:r>
        <w:rPr>
          <w:rFonts w:ascii="微软雅黑" w:hAnsi="微软雅黑" w:eastAsia="微软雅黑"/>
        </w:rPr>
        <w:t>-12</w:t>
      </w:r>
      <w:r>
        <w:rPr>
          <w:rFonts w:hint="eastAsia" w:ascii="微软雅黑" w:hAnsi="微软雅黑" w:eastAsia="微软雅黑"/>
        </w:rPr>
        <w:t>，毕业生就业单位比例最高的是文化、体育和娱乐业，人数占比2</w:t>
      </w:r>
      <w:r>
        <w:rPr>
          <w:rFonts w:ascii="微软雅黑" w:hAnsi="微软雅黑" w:eastAsia="微软雅黑"/>
        </w:rPr>
        <w:t>7.62%</w:t>
      </w:r>
      <w:r>
        <w:rPr>
          <w:rFonts w:hint="eastAsia" w:ascii="微软雅黑" w:hAnsi="微软雅黑" w:eastAsia="微软雅黑"/>
        </w:rPr>
        <w:t>；其次是教育行业（1</w:t>
      </w:r>
      <w:r>
        <w:rPr>
          <w:rFonts w:ascii="微软雅黑" w:hAnsi="微软雅黑" w:eastAsia="微软雅黑"/>
        </w:rPr>
        <w:t>4.42%</w:t>
      </w:r>
      <w:r>
        <w:rPr>
          <w:rFonts w:hint="eastAsia" w:ascii="微软雅黑" w:hAnsi="微软雅黑" w:eastAsia="微软雅黑"/>
        </w:rPr>
        <w:t>），再次1</w:t>
      </w:r>
      <w:r>
        <w:rPr>
          <w:rFonts w:ascii="微软雅黑" w:hAnsi="微软雅黑" w:eastAsia="微软雅黑"/>
        </w:rPr>
        <w:t>0.94%</w:t>
      </w:r>
      <w:r>
        <w:rPr>
          <w:rFonts w:hint="eastAsia" w:ascii="微软雅黑" w:hAnsi="微软雅黑" w:eastAsia="微软雅黑"/>
        </w:rPr>
        <w:t>的毕业生选择了批发和零售业就业。</w:t>
      </w:r>
    </w:p>
    <w:p>
      <w:pPr>
        <w:pStyle w:val="24"/>
        <w:spacing w:line="360" w:lineRule="auto"/>
        <w:jc w:val="center"/>
        <w:rPr>
          <w:rFonts w:ascii="微软雅黑" w:hAnsi="微软雅黑" w:eastAsia="微软雅黑"/>
        </w:rPr>
      </w:pP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69610" cy="3328035"/>
            <wp:effectExtent l="4445" t="4445" r="17145" b="20320"/>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12</w:t>
      </w:r>
      <w:r>
        <w:rPr>
          <w:rFonts w:hint="eastAsia" w:ascii="微软雅黑" w:hAnsi="微软雅黑" w:eastAsia="微软雅黑"/>
          <w:color w:val="000000"/>
          <w:sz w:val="20"/>
          <w:szCs w:val="20"/>
        </w:rPr>
        <w:t xml:space="preserve">  2017年毕业生就业单位行业分布</w:t>
      </w:r>
    </w:p>
    <w:p>
      <w:pPr>
        <w:pStyle w:val="3"/>
        <w:keepNext/>
        <w:keepLines/>
        <w:pageBreakBefore w:val="0"/>
        <w:widowControl w:val="0"/>
        <w:numPr>
          <w:ilvl w:val="0"/>
          <w:numId w:val="7"/>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2" w:name="_Toc6637"/>
      <w:r>
        <w:rPr>
          <w:rFonts w:hint="eastAsia" w:ascii="微软雅黑" w:hAnsi="微软雅黑" w:eastAsia="微软雅黑" w:cs="微软雅黑"/>
          <w:b w:val="0"/>
          <w:bCs w:val="0"/>
          <w:sz w:val="28"/>
          <w:szCs w:val="28"/>
        </w:rPr>
        <w:t>单位性质分析</w:t>
      </w:r>
      <w:bookmarkEnd w:id="12"/>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年学院毕业生就业单位性质分布如图1</w:t>
      </w:r>
      <w:r>
        <w:rPr>
          <w:rFonts w:ascii="微软雅黑" w:hAnsi="微软雅黑" w:eastAsia="微软雅黑"/>
        </w:rPr>
        <w:t>-13</w:t>
      </w:r>
      <w:r>
        <w:rPr>
          <w:rFonts w:hint="eastAsia" w:ascii="微软雅黑" w:hAnsi="微软雅黑" w:eastAsia="微软雅黑"/>
        </w:rPr>
        <w:t>，毕业生就业性质中其他企业占比最高，达到7</w:t>
      </w:r>
      <w:r>
        <w:rPr>
          <w:rFonts w:ascii="微软雅黑" w:hAnsi="微软雅黑" w:eastAsia="微软雅黑"/>
        </w:rPr>
        <w:t>2.31%</w:t>
      </w:r>
      <w:r>
        <w:rPr>
          <w:rFonts w:hint="eastAsia" w:ascii="微软雅黑" w:hAnsi="微软雅黑" w:eastAsia="微软雅黑"/>
        </w:rPr>
        <w:t>；其次是其他事业单位（5</w:t>
      </w:r>
      <w:r>
        <w:rPr>
          <w:rFonts w:ascii="微软雅黑" w:hAnsi="微软雅黑" w:eastAsia="微软雅黑"/>
        </w:rPr>
        <w:t>.07%</w:t>
      </w:r>
      <w:r>
        <w:rPr>
          <w:rFonts w:hint="eastAsia" w:ascii="微软雅黑" w:hAnsi="微软雅黑" w:eastAsia="微软雅黑"/>
        </w:rPr>
        <w:t>），国有企业有4</w:t>
      </w:r>
      <w:r>
        <w:rPr>
          <w:rFonts w:ascii="微软雅黑" w:hAnsi="微软雅黑" w:eastAsia="微软雅黑"/>
        </w:rPr>
        <w:t>.28%</w:t>
      </w:r>
      <w:r>
        <w:rPr>
          <w:rFonts w:hint="eastAsia" w:ascii="微软雅黑" w:hAnsi="微软雅黑" w:eastAsia="微软雅黑"/>
        </w:rPr>
        <w:t>的毕业生选择去国有企业。</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673090" cy="2515235"/>
            <wp:effectExtent l="4445" t="4445" r="18415" b="1397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rPr>
          <w:rFonts w:ascii="微软雅黑" w:hAnsi="微软雅黑" w:eastAsia="微软雅黑"/>
        </w:rPr>
      </w:pPr>
      <w:r>
        <w:rPr>
          <w:rFonts w:hint="eastAsia" w:ascii="微软雅黑" w:hAnsi="微软雅黑" w:eastAsia="微软雅黑"/>
          <w:color w:val="000000"/>
          <w:sz w:val="20"/>
          <w:szCs w:val="20"/>
        </w:rPr>
        <w:t>图1-</w:t>
      </w:r>
      <w:r>
        <w:rPr>
          <w:rFonts w:ascii="微软雅黑" w:hAnsi="微软雅黑" w:eastAsia="微软雅黑"/>
          <w:color w:val="000000"/>
          <w:sz w:val="20"/>
          <w:szCs w:val="20"/>
        </w:rPr>
        <w:t>13</w:t>
      </w:r>
      <w:r>
        <w:rPr>
          <w:rFonts w:hint="eastAsia" w:ascii="微软雅黑" w:hAnsi="微软雅黑" w:eastAsia="微软雅黑"/>
          <w:color w:val="000000"/>
          <w:sz w:val="20"/>
          <w:szCs w:val="20"/>
        </w:rPr>
        <w:t xml:space="preserve">  2017年毕业生就业单位性质分布</w:t>
      </w:r>
    </w:p>
    <w:p>
      <w:pPr>
        <w:pStyle w:val="3"/>
        <w:keepNext/>
        <w:keepLines/>
        <w:pageBreakBefore w:val="0"/>
        <w:widowControl w:val="0"/>
        <w:numPr>
          <w:ilvl w:val="0"/>
          <w:numId w:val="7"/>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3" w:name="_Toc29475"/>
      <w:r>
        <w:rPr>
          <w:rFonts w:hint="eastAsia" w:ascii="微软雅黑" w:hAnsi="微软雅黑" w:eastAsia="微软雅黑" w:cs="微软雅黑"/>
          <w:b w:val="0"/>
          <w:bCs w:val="0"/>
          <w:sz w:val="28"/>
          <w:szCs w:val="28"/>
        </w:rPr>
        <w:t>工作岗位分析</w:t>
      </w:r>
      <w:bookmarkEnd w:id="13"/>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年学院毕业生毕业会工作岗位分布如图1</w:t>
      </w:r>
      <w:r>
        <w:rPr>
          <w:rFonts w:ascii="微软雅黑" w:hAnsi="微软雅黑" w:eastAsia="微软雅黑"/>
        </w:rPr>
        <w:t>-14</w:t>
      </w:r>
      <w:r>
        <w:rPr>
          <w:rFonts w:hint="eastAsia" w:ascii="微软雅黑" w:hAnsi="微软雅黑" w:eastAsia="微软雅黑"/>
        </w:rPr>
        <w:t>，工作岗位中比例最高的工作岗位“其他人员”达到4</w:t>
      </w:r>
      <w:r>
        <w:rPr>
          <w:rFonts w:ascii="微软雅黑" w:hAnsi="微软雅黑" w:eastAsia="微软雅黑"/>
        </w:rPr>
        <w:t>4.85%</w:t>
      </w:r>
      <w:r>
        <w:rPr>
          <w:rFonts w:hint="eastAsia" w:ascii="微软雅黑" w:hAnsi="微软雅黑" w:eastAsia="微软雅黑"/>
        </w:rPr>
        <w:t>，其次文学艺术工作人员达到1</w:t>
      </w:r>
      <w:r>
        <w:rPr>
          <w:rFonts w:ascii="微软雅黑" w:hAnsi="微软雅黑" w:eastAsia="微软雅黑"/>
        </w:rPr>
        <w:t>5.69%</w:t>
      </w:r>
      <w:r>
        <w:rPr>
          <w:rFonts w:hint="eastAsia" w:ascii="微软雅黑" w:hAnsi="微软雅黑" w:eastAsia="微软雅黑"/>
        </w:rPr>
        <w:t>，办事人员和有关人员占比1</w:t>
      </w:r>
      <w:r>
        <w:rPr>
          <w:rFonts w:ascii="微软雅黑" w:hAnsi="微软雅黑" w:eastAsia="微软雅黑"/>
        </w:rPr>
        <w:t>3.47%</w:t>
      </w:r>
      <w:r>
        <w:rPr>
          <w:rFonts w:hint="eastAsia" w:ascii="微软雅黑" w:hAnsi="微软雅黑" w:eastAsia="微软雅黑"/>
        </w:rPr>
        <w:t>。</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33415" cy="2657475"/>
            <wp:effectExtent l="4445" t="4445" r="15240" b="5080"/>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rFonts w:ascii="微软雅黑" w:hAnsi="微软雅黑" w:eastAsia="微软雅黑"/>
          <w:szCs w:val="21"/>
        </w:rPr>
      </w:pPr>
      <w:r>
        <w:rPr>
          <w:rFonts w:hint="eastAsia" w:ascii="微软雅黑" w:hAnsi="微软雅黑" w:eastAsia="微软雅黑"/>
          <w:color w:val="000000"/>
          <w:szCs w:val="21"/>
        </w:rPr>
        <w:t>图1-</w:t>
      </w:r>
      <w:r>
        <w:rPr>
          <w:rFonts w:ascii="微软雅黑" w:hAnsi="微软雅黑" w:eastAsia="微软雅黑"/>
          <w:color w:val="000000"/>
          <w:szCs w:val="21"/>
        </w:rPr>
        <w:t>14</w:t>
      </w:r>
      <w:r>
        <w:rPr>
          <w:rFonts w:hint="eastAsia" w:ascii="微软雅黑" w:hAnsi="微软雅黑" w:eastAsia="微软雅黑"/>
          <w:color w:val="000000"/>
          <w:szCs w:val="21"/>
        </w:rPr>
        <w:t xml:space="preserve">  2017年毕业生工作岗位分布</w:t>
      </w:r>
    </w:p>
    <w:p>
      <w:pPr>
        <w:pStyle w:val="24"/>
        <w:spacing w:line="360" w:lineRule="auto"/>
        <w:jc w:val="center"/>
        <w:rPr>
          <w:rFonts w:hint="eastAsia" w:ascii="微软雅黑" w:hAnsi="微软雅黑" w:eastAsia="微软雅黑"/>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14" w:name="_Toc20226"/>
      <w:r>
        <w:rPr>
          <w:rFonts w:hint="eastAsia" w:ascii="微软雅黑" w:hAnsi="微软雅黑" w:eastAsia="微软雅黑" w:cs="微软雅黑"/>
          <w:b w:val="0"/>
          <w:bCs w:val="0"/>
          <w:sz w:val="30"/>
          <w:szCs w:val="30"/>
          <w:lang w:val="en-US" w:eastAsia="zh-CN"/>
        </w:rPr>
        <w:t>就业地域流向分析</w:t>
      </w:r>
      <w:bookmarkEnd w:id="14"/>
    </w:p>
    <w:p>
      <w:pPr>
        <w:pStyle w:val="3"/>
        <w:keepNext/>
        <w:keepLines/>
        <w:pageBreakBefore w:val="0"/>
        <w:widowControl w:val="0"/>
        <w:numPr>
          <w:ilvl w:val="0"/>
          <w:numId w:val="8"/>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5" w:name="_Toc16015"/>
      <w:r>
        <w:rPr>
          <w:rFonts w:hint="eastAsia" w:ascii="微软雅黑" w:hAnsi="微软雅黑" w:eastAsia="微软雅黑" w:cs="微软雅黑"/>
          <w:b w:val="0"/>
          <w:bCs w:val="0"/>
          <w:sz w:val="28"/>
          <w:szCs w:val="28"/>
        </w:rPr>
        <w:t>就业地区域类型</w:t>
      </w:r>
      <w:bookmarkEnd w:id="15"/>
    </w:p>
    <w:p>
      <w:pPr>
        <w:pStyle w:val="24"/>
        <w:numPr>
          <w:ilvl w:val="0"/>
          <w:numId w:val="9"/>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毕业生就业区域流向分布</w:t>
      </w:r>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年学院毕业生就业区域流向分布如图1</w:t>
      </w:r>
      <w:r>
        <w:rPr>
          <w:rFonts w:ascii="微软雅黑" w:hAnsi="微软雅黑" w:eastAsia="微软雅黑"/>
        </w:rPr>
        <w:t>-15</w:t>
      </w:r>
      <w:r>
        <w:rPr>
          <w:rFonts w:hint="eastAsia" w:ascii="微软雅黑" w:hAnsi="微软雅黑" w:eastAsia="微软雅黑"/>
        </w:rPr>
        <w:t>，有9</w:t>
      </w:r>
      <w:r>
        <w:rPr>
          <w:rFonts w:ascii="微软雅黑" w:hAnsi="微软雅黑" w:eastAsia="微软雅黑"/>
        </w:rPr>
        <w:t>5.30%</w:t>
      </w:r>
      <w:r>
        <w:rPr>
          <w:rFonts w:hint="eastAsia" w:ascii="微软雅黑" w:hAnsi="微软雅黑" w:eastAsia="微软雅黑"/>
        </w:rPr>
        <w:t>的毕业生选择华东地区，2</w:t>
      </w:r>
      <w:r>
        <w:rPr>
          <w:rFonts w:ascii="微软雅黑" w:hAnsi="微软雅黑" w:eastAsia="微软雅黑"/>
        </w:rPr>
        <w:t>.5%</w:t>
      </w:r>
      <w:r>
        <w:rPr>
          <w:rFonts w:hint="eastAsia" w:ascii="微软雅黑" w:hAnsi="微软雅黑" w:eastAsia="微软雅黑"/>
        </w:rPr>
        <w:t>的毕业生选择海外及其它，</w:t>
      </w:r>
      <w:r>
        <w:rPr>
          <w:rFonts w:ascii="微软雅黑" w:hAnsi="微软雅黑" w:eastAsia="微软雅黑"/>
        </w:rPr>
        <w:t>1.03%</w:t>
      </w:r>
      <w:r>
        <w:rPr>
          <w:rFonts w:hint="eastAsia" w:ascii="微软雅黑" w:hAnsi="微软雅黑" w:eastAsia="微软雅黑"/>
        </w:rPr>
        <w:t>的毕业生选择华北地区。选择华中、华南、西北地区的毕业相对较少。</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68975" cy="2883535"/>
            <wp:effectExtent l="4445" t="4445" r="17780" b="7620"/>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图1-</w:t>
      </w:r>
      <w:r>
        <w:rPr>
          <w:rFonts w:ascii="微软雅黑" w:hAnsi="微软雅黑" w:eastAsia="微软雅黑"/>
          <w:color w:val="000000"/>
          <w:szCs w:val="21"/>
        </w:rPr>
        <w:t>15</w:t>
      </w:r>
      <w:r>
        <w:rPr>
          <w:rFonts w:hint="eastAsia" w:ascii="微软雅黑" w:hAnsi="微软雅黑" w:eastAsia="微软雅黑"/>
          <w:color w:val="000000"/>
          <w:szCs w:val="21"/>
        </w:rPr>
        <w:t xml:space="preserve">  2017年毕业生就业区域流向分布</w:t>
      </w:r>
    </w:p>
    <w:p>
      <w:pPr>
        <w:pStyle w:val="24"/>
        <w:numPr>
          <w:ilvl w:val="0"/>
          <w:numId w:val="9"/>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毕业生就业地域城市类型分布</w:t>
      </w:r>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年学院毕业生就业地域城市分布如图1</w:t>
      </w:r>
      <w:r>
        <w:rPr>
          <w:rFonts w:ascii="微软雅黑" w:hAnsi="微软雅黑" w:eastAsia="微软雅黑"/>
        </w:rPr>
        <w:t>-16</w:t>
      </w:r>
      <w:r>
        <w:rPr>
          <w:rFonts w:hint="eastAsia" w:ascii="微软雅黑" w:hAnsi="微软雅黑" w:eastAsia="微软雅黑"/>
        </w:rPr>
        <w:t>,</w:t>
      </w:r>
      <w:r>
        <w:rPr>
          <w:rFonts w:ascii="微软雅黑" w:hAnsi="微软雅黑" w:eastAsia="微软雅黑"/>
        </w:rPr>
        <w:t xml:space="preserve"> 50.66%</w:t>
      </w:r>
      <w:r>
        <w:rPr>
          <w:rFonts w:hint="eastAsia" w:ascii="微软雅黑" w:hAnsi="微软雅黑" w:eastAsia="微软雅黑"/>
        </w:rPr>
        <w:t>的毕业生选择省会城市就业，2</w:t>
      </w:r>
      <w:r>
        <w:rPr>
          <w:rFonts w:ascii="微软雅黑" w:hAnsi="微软雅黑" w:eastAsia="微软雅黑"/>
        </w:rPr>
        <w:t>3.05%</w:t>
      </w:r>
      <w:r>
        <w:rPr>
          <w:rFonts w:hint="eastAsia" w:ascii="微软雅黑" w:hAnsi="微软雅黑" w:eastAsia="微软雅黑"/>
        </w:rPr>
        <w:t>的毕业生选择地级市就业，1</w:t>
      </w:r>
      <w:r>
        <w:rPr>
          <w:rFonts w:ascii="微软雅黑" w:hAnsi="微软雅黑" w:eastAsia="微软雅黑"/>
        </w:rPr>
        <w:t>8.80%</w:t>
      </w:r>
      <w:r>
        <w:rPr>
          <w:rFonts w:hint="eastAsia" w:ascii="微软雅黑" w:hAnsi="微软雅黑" w:eastAsia="微软雅黑"/>
        </w:rPr>
        <w:t>的毕业生选择县就业。直辖市、海外及其它、县级市、计划单列城市的城市毕业生去的相对较少。</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852160" cy="2590165"/>
            <wp:effectExtent l="4445" t="4445" r="10795" b="15240"/>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图1-</w:t>
      </w:r>
      <w:r>
        <w:rPr>
          <w:rFonts w:ascii="微软雅黑" w:hAnsi="微软雅黑" w:eastAsia="微软雅黑"/>
          <w:color w:val="000000"/>
          <w:szCs w:val="21"/>
        </w:rPr>
        <w:t>16</w:t>
      </w:r>
      <w:r>
        <w:rPr>
          <w:rFonts w:hint="eastAsia" w:ascii="微软雅黑" w:hAnsi="微软雅黑" w:eastAsia="微软雅黑"/>
          <w:color w:val="000000"/>
          <w:szCs w:val="21"/>
        </w:rPr>
        <w:t xml:space="preserve">  2017年毕业生就业地域城市类型分布</w:t>
      </w:r>
    </w:p>
    <w:p>
      <w:pPr>
        <w:pStyle w:val="24"/>
        <w:numPr>
          <w:ilvl w:val="0"/>
          <w:numId w:val="9"/>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毕业生就业区域省份分布</w:t>
      </w:r>
    </w:p>
    <w:p>
      <w:pPr>
        <w:pStyle w:val="24"/>
        <w:spacing w:line="360" w:lineRule="auto"/>
        <w:rPr>
          <w:rFonts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年学院毕业生就业区域省份分布如图</w:t>
      </w:r>
      <w:r>
        <w:rPr>
          <w:rFonts w:ascii="微软雅黑" w:hAnsi="微软雅黑" w:eastAsia="微软雅黑"/>
        </w:rPr>
        <w:t>1-17,</w:t>
      </w:r>
      <w:r>
        <w:rPr>
          <w:rFonts w:hint="eastAsia" w:ascii="微软雅黑" w:hAnsi="微软雅黑" w:eastAsia="微软雅黑"/>
        </w:rPr>
        <w:t>我院2</w:t>
      </w:r>
      <w:r>
        <w:rPr>
          <w:rFonts w:ascii="微软雅黑" w:hAnsi="微软雅黑" w:eastAsia="微软雅黑"/>
        </w:rPr>
        <w:t>017</w:t>
      </w:r>
      <w:r>
        <w:rPr>
          <w:rFonts w:hint="eastAsia" w:ascii="微软雅黑" w:hAnsi="微软雅黑" w:eastAsia="微软雅黑"/>
        </w:rPr>
        <w:t>年毕业生就业分布在1</w:t>
      </w:r>
      <w:r>
        <w:rPr>
          <w:rFonts w:ascii="微软雅黑" w:hAnsi="微软雅黑" w:eastAsia="微软雅黑"/>
        </w:rPr>
        <w:t>3</w:t>
      </w:r>
      <w:r>
        <w:rPr>
          <w:rFonts w:hint="eastAsia" w:ascii="微软雅黑" w:hAnsi="微软雅黑" w:eastAsia="微软雅黑"/>
        </w:rPr>
        <w:t>个省/直辖市，就业人数最多的是安徽省及省内（8</w:t>
      </w:r>
      <w:r>
        <w:rPr>
          <w:rFonts w:ascii="微软雅黑" w:hAnsi="微软雅黑" w:eastAsia="微软雅黑"/>
        </w:rPr>
        <w:t>5.09%</w:t>
      </w:r>
      <w:r>
        <w:rPr>
          <w:rFonts w:hint="eastAsia" w:ascii="微软雅黑" w:hAnsi="微软雅黑" w:eastAsia="微软雅黑"/>
        </w:rPr>
        <w:t>）、其次是江西省（4</w:t>
      </w:r>
      <w:r>
        <w:rPr>
          <w:rFonts w:ascii="微软雅黑" w:hAnsi="微软雅黑" w:eastAsia="微软雅黑"/>
        </w:rPr>
        <w:t>.55%</w:t>
      </w:r>
      <w:r>
        <w:rPr>
          <w:rFonts w:hint="eastAsia" w:ascii="微软雅黑" w:hAnsi="微软雅黑" w:eastAsia="微软雅黑"/>
        </w:rPr>
        <w:t>），江苏省（4</w:t>
      </w:r>
      <w:r>
        <w:rPr>
          <w:rFonts w:ascii="微软雅黑" w:hAnsi="微软雅黑" w:eastAsia="微软雅黑"/>
        </w:rPr>
        <w:t>.11%</w:t>
      </w:r>
      <w:r>
        <w:rPr>
          <w:rFonts w:hint="eastAsia" w:ascii="微软雅黑" w:hAnsi="微软雅黑" w:eastAsia="微软雅黑"/>
        </w:rPr>
        <w:t>）。</w:t>
      </w:r>
    </w:p>
    <w:p>
      <w:pPr>
        <w:spacing w:line="360" w:lineRule="auto"/>
        <w:jc w:val="both"/>
        <w:rPr>
          <w:rFonts w:ascii="微软雅黑" w:hAnsi="微软雅黑" w:eastAsia="微软雅黑"/>
        </w:rPr>
      </w:pPr>
      <w:r>
        <w:drawing>
          <wp:inline distT="0" distB="0" distL="114300" distR="114300">
            <wp:extent cx="5769610" cy="2619375"/>
            <wp:effectExtent l="4445" t="4445" r="17145" b="5080"/>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图1-</w:t>
      </w:r>
      <w:r>
        <w:rPr>
          <w:rFonts w:ascii="微软雅黑" w:hAnsi="微软雅黑" w:eastAsia="微软雅黑"/>
          <w:color w:val="000000"/>
          <w:szCs w:val="21"/>
        </w:rPr>
        <w:t>17</w:t>
      </w:r>
      <w:r>
        <w:rPr>
          <w:rFonts w:hint="eastAsia" w:ascii="微软雅黑" w:hAnsi="微软雅黑" w:eastAsia="微软雅黑"/>
          <w:color w:val="000000"/>
          <w:szCs w:val="21"/>
        </w:rPr>
        <w:t xml:space="preserve">  2017年毕业生就业区域省份分布</w:t>
      </w:r>
    </w:p>
    <w:p>
      <w:pPr>
        <w:pStyle w:val="3"/>
        <w:keepNext/>
        <w:keepLines/>
        <w:pageBreakBefore w:val="0"/>
        <w:widowControl w:val="0"/>
        <w:numPr>
          <w:ilvl w:val="0"/>
          <w:numId w:val="8"/>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rPr>
      </w:pPr>
      <w:bookmarkStart w:id="16" w:name="_Toc31072"/>
      <w:r>
        <w:rPr>
          <w:rFonts w:hint="eastAsia" w:ascii="微软雅黑" w:hAnsi="微软雅黑" w:eastAsia="微软雅黑" w:cs="微软雅黑"/>
          <w:b w:val="0"/>
          <w:bCs w:val="0"/>
          <w:sz w:val="28"/>
          <w:szCs w:val="28"/>
        </w:rPr>
        <w:t>毕业生回原籍工作分析</w:t>
      </w:r>
      <w:bookmarkEnd w:id="16"/>
    </w:p>
    <w:p>
      <w:pPr>
        <w:pStyle w:val="24"/>
        <w:numPr>
          <w:ilvl w:val="0"/>
          <w:numId w:val="10"/>
        </w:numPr>
        <w:spacing w:line="360" w:lineRule="auto"/>
        <w:ind w:firstLineChars="0"/>
        <w:rPr>
          <w:rFonts w:ascii="微软雅黑" w:hAnsi="微软雅黑" w:eastAsia="微软雅黑"/>
          <w:sz w:val="24"/>
          <w:szCs w:val="24"/>
        </w:rPr>
      </w:pPr>
      <w:r>
        <w:rPr>
          <w:rFonts w:hint="eastAsia" w:ascii="微软雅黑" w:hAnsi="微软雅黑" w:eastAsia="微软雅黑"/>
          <w:sz w:val="24"/>
          <w:szCs w:val="24"/>
        </w:rPr>
        <w:t>不同地区毕业生回家乡工作比例分布</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年学院毕业生回家乡工作比例分布如图</w:t>
      </w:r>
      <w:r>
        <w:rPr>
          <w:rFonts w:ascii="微软雅黑" w:hAnsi="微软雅黑" w:eastAsia="微软雅黑"/>
        </w:rPr>
        <w:t>1-18</w:t>
      </w:r>
      <w:r>
        <w:rPr>
          <w:rFonts w:hint="eastAsia" w:ascii="微软雅黑" w:hAnsi="微软雅黑" w:eastAsia="微软雅黑"/>
        </w:rPr>
        <w:t>，安徽省生源的毕业生3</w:t>
      </w:r>
      <w:r>
        <w:rPr>
          <w:rFonts w:ascii="微软雅黑" w:hAnsi="微软雅黑" w:eastAsia="微软雅黑"/>
        </w:rPr>
        <w:t>9.91%</w:t>
      </w:r>
      <w:r>
        <w:rPr>
          <w:rFonts w:hint="eastAsia" w:ascii="微软雅黑" w:hAnsi="微软雅黑" w:eastAsia="微软雅黑"/>
        </w:rPr>
        <w:t>选择回家乡工作，江西省生源的毕业生则全部回家乡就业。</w:t>
      </w: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48020" cy="2362200"/>
            <wp:effectExtent l="4445" t="4445" r="19685" b="1460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图1-</w:t>
      </w:r>
      <w:r>
        <w:rPr>
          <w:rFonts w:ascii="微软雅黑" w:hAnsi="微软雅黑" w:eastAsia="微软雅黑"/>
          <w:color w:val="000000"/>
          <w:szCs w:val="21"/>
        </w:rPr>
        <w:t>18</w:t>
      </w:r>
      <w:r>
        <w:rPr>
          <w:rFonts w:hint="eastAsia" w:ascii="微软雅黑" w:hAnsi="微软雅黑" w:eastAsia="微软雅黑"/>
          <w:color w:val="000000"/>
          <w:szCs w:val="21"/>
        </w:rPr>
        <w:t xml:space="preserve">  2017年毕业生回原籍工作比例分布</w:t>
      </w:r>
    </w:p>
    <w:p>
      <w:pPr>
        <w:spacing w:line="360" w:lineRule="auto"/>
        <w:jc w:val="center"/>
        <w:rPr>
          <w:rFonts w:hint="eastAsia" w:ascii="微软雅黑" w:hAnsi="微软雅黑" w:eastAsia="微软雅黑"/>
          <w:color w:val="000000"/>
          <w:szCs w:val="21"/>
        </w:rPr>
      </w:pPr>
    </w:p>
    <w:p>
      <w:pPr>
        <w:pStyle w:val="24"/>
        <w:numPr>
          <w:ilvl w:val="0"/>
          <w:numId w:val="10"/>
        </w:numPr>
        <w:spacing w:line="360" w:lineRule="auto"/>
        <w:ind w:firstLineChars="0"/>
        <w:rPr>
          <w:rFonts w:ascii="微软雅黑" w:hAnsi="微软雅黑" w:eastAsia="微软雅黑"/>
          <w:color w:val="000000"/>
          <w:szCs w:val="21"/>
        </w:rPr>
      </w:pPr>
      <w:r>
        <w:rPr>
          <w:rFonts w:hint="eastAsia" w:ascii="微软雅黑" w:hAnsi="微软雅黑" w:eastAsia="微软雅黑"/>
          <w:color w:val="000000"/>
          <w:sz w:val="24"/>
          <w:szCs w:val="24"/>
        </w:rPr>
        <w:t>安徽籍毕业生回家乡比例分布</w:t>
      </w:r>
    </w:p>
    <w:p>
      <w:pPr>
        <w:pStyle w:val="24"/>
        <w:spacing w:line="360" w:lineRule="auto"/>
        <w:rPr>
          <w:rFonts w:hint="eastAsia" w:ascii="微软雅黑" w:hAnsi="微软雅黑" w:eastAsia="微软雅黑"/>
        </w:rPr>
      </w:pPr>
      <w:r>
        <w:rPr>
          <w:rFonts w:hint="eastAsia" w:ascii="微软雅黑" w:hAnsi="微软雅黑" w:eastAsia="微软雅黑"/>
        </w:rPr>
        <w:t>2</w:t>
      </w:r>
      <w:r>
        <w:rPr>
          <w:rFonts w:ascii="微软雅黑" w:hAnsi="微软雅黑" w:eastAsia="微软雅黑"/>
        </w:rPr>
        <w:t>017</w:t>
      </w:r>
      <w:r>
        <w:rPr>
          <w:rFonts w:hint="eastAsia" w:ascii="微软雅黑" w:hAnsi="微软雅黑" w:eastAsia="微软雅黑"/>
        </w:rPr>
        <w:t>年学院毕业生安徽籍回家乡工作城市分布如图1</w:t>
      </w:r>
      <w:r>
        <w:rPr>
          <w:rFonts w:ascii="微软雅黑" w:hAnsi="微软雅黑" w:eastAsia="微软雅黑"/>
        </w:rPr>
        <w:t>-19</w:t>
      </w:r>
      <w:r>
        <w:rPr>
          <w:rFonts w:hint="eastAsia" w:ascii="微软雅黑" w:hAnsi="微软雅黑" w:eastAsia="微软雅黑"/>
        </w:rPr>
        <w:t>，合肥市生源的毕业生回去的最多达到7</w:t>
      </w:r>
      <w:r>
        <w:rPr>
          <w:rFonts w:ascii="微软雅黑" w:hAnsi="微软雅黑" w:eastAsia="微软雅黑"/>
        </w:rPr>
        <w:t>8.21%</w:t>
      </w:r>
      <w:r>
        <w:rPr>
          <w:rFonts w:hint="eastAsia" w:ascii="微软雅黑" w:hAnsi="微软雅黑" w:eastAsia="微软雅黑"/>
        </w:rPr>
        <w:t>，其次马鞍山市生源的毕业生回家乡工作的达到6</w:t>
      </w:r>
      <w:r>
        <w:rPr>
          <w:rFonts w:ascii="微软雅黑" w:hAnsi="微软雅黑" w:eastAsia="微软雅黑"/>
        </w:rPr>
        <w:t>2.50%</w:t>
      </w:r>
      <w:r>
        <w:rPr>
          <w:rFonts w:hint="eastAsia" w:ascii="微软雅黑" w:hAnsi="微软雅黑" w:eastAsia="微软雅黑"/>
        </w:rPr>
        <w:t>位居第二，再次芜湖市有4</w:t>
      </w:r>
      <w:r>
        <w:rPr>
          <w:rFonts w:ascii="微软雅黑" w:hAnsi="微软雅黑" w:eastAsia="微软雅黑"/>
        </w:rPr>
        <w:t>4.44%</w:t>
      </w:r>
      <w:r>
        <w:rPr>
          <w:rFonts w:hint="eastAsia" w:ascii="微软雅黑" w:hAnsi="微软雅黑" w:eastAsia="微软雅黑"/>
        </w:rPr>
        <w:t>的毕业生回去工作。</w:t>
      </w:r>
    </w:p>
    <w:p>
      <w:pPr>
        <w:pStyle w:val="24"/>
        <w:spacing w:line="360" w:lineRule="auto"/>
        <w:jc w:val="center"/>
        <w:rPr>
          <w:rFonts w:ascii="微软雅黑" w:hAnsi="微软雅黑" w:eastAsia="微软雅黑"/>
        </w:rPr>
      </w:pPr>
    </w:p>
    <w:p>
      <w:pPr>
        <w:pStyle w:val="24"/>
        <w:spacing w:line="360" w:lineRule="auto"/>
        <w:ind w:left="0" w:leftChars="0" w:firstLine="0" w:firstLineChars="0"/>
        <w:jc w:val="both"/>
        <w:rPr>
          <w:rFonts w:ascii="微软雅黑" w:hAnsi="微软雅黑" w:eastAsia="微软雅黑"/>
        </w:rPr>
      </w:pPr>
      <w:r>
        <w:drawing>
          <wp:inline distT="0" distB="0" distL="114300" distR="114300">
            <wp:extent cx="5768975" cy="2962910"/>
            <wp:effectExtent l="4445" t="4445" r="17780" b="23495"/>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jc w:val="center"/>
        <w:rPr>
          <w:rFonts w:ascii="微软雅黑" w:hAnsi="微软雅黑" w:eastAsia="微软雅黑"/>
          <w:color w:val="000000"/>
          <w:szCs w:val="21"/>
        </w:rPr>
      </w:pPr>
      <w:r>
        <w:rPr>
          <w:rFonts w:hint="eastAsia" w:ascii="微软雅黑" w:hAnsi="微软雅黑" w:eastAsia="微软雅黑"/>
          <w:color w:val="000000"/>
          <w:szCs w:val="21"/>
        </w:rPr>
        <w:t>图1-</w:t>
      </w:r>
      <w:r>
        <w:rPr>
          <w:rFonts w:ascii="微软雅黑" w:hAnsi="微软雅黑" w:eastAsia="微软雅黑"/>
          <w:color w:val="000000"/>
          <w:szCs w:val="21"/>
        </w:rPr>
        <w:t>19</w:t>
      </w:r>
      <w:r>
        <w:rPr>
          <w:rFonts w:hint="eastAsia" w:ascii="微软雅黑" w:hAnsi="微软雅黑" w:eastAsia="微软雅黑"/>
          <w:color w:val="000000"/>
          <w:szCs w:val="21"/>
        </w:rPr>
        <w:t xml:space="preserve">  2017年安徽籍毕业生回家乡工作比例分布</w:t>
      </w:r>
    </w:p>
    <w:p>
      <w:pPr>
        <w:pStyle w:val="24"/>
        <w:spacing w:line="360" w:lineRule="auto"/>
        <w:jc w:val="center"/>
        <w:rPr>
          <w:rFonts w:hint="eastAsia" w:ascii="微软雅黑" w:hAnsi="微软雅黑" w:eastAsia="微软雅黑"/>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17" w:name="_Toc11008"/>
      <w:bookmarkStart w:id="18" w:name="_Toc21851"/>
      <w:bookmarkStart w:id="19" w:name="_Toc21408"/>
      <w:bookmarkStart w:id="20" w:name="_Toc13237"/>
      <w:r>
        <w:rPr>
          <w:rFonts w:hint="eastAsia" w:ascii="微软雅黑" w:hAnsi="微软雅黑" w:eastAsia="微软雅黑" w:cs="微软雅黑"/>
          <w:b w:val="0"/>
          <w:bCs w:val="0"/>
          <w:sz w:val="30"/>
          <w:szCs w:val="30"/>
          <w:lang w:val="en-US" w:eastAsia="zh-CN"/>
        </w:rPr>
        <w:t>求职分析</w:t>
      </w:r>
      <w:bookmarkEnd w:id="17"/>
      <w:bookmarkEnd w:id="18"/>
      <w:bookmarkEnd w:id="19"/>
      <w:bookmarkEnd w:id="20"/>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2017届毕业生离校后，经对221名毕业生所做的调查显示（被调查毕业生数占毕业生人数的306%）：毕业生就业岗位与专业的对口率较高，完全对口或比较对口的比例达80.06%，一般对口的占15.35%；毕业生对签约单位很满意和比较满意的占70.82%，一般满意的占26.62%。。</w:t>
      </w:r>
    </w:p>
    <w:p>
      <w:pPr>
        <w:pStyle w:val="24"/>
        <w:spacing w:line="360" w:lineRule="auto"/>
        <w:rPr>
          <w:rFonts w:hint="eastAsia" w:ascii="微软雅黑" w:hAnsi="微软雅黑" w:eastAsia="微软雅黑"/>
          <w:sz w:val="21"/>
          <w:szCs w:val="22"/>
          <w:lang w:val="en-US" w:eastAsia="zh-CN"/>
        </w:rPr>
      </w:pPr>
      <w:bookmarkStart w:id="21" w:name="_Toc16868"/>
      <w:bookmarkStart w:id="22" w:name="_Toc6685"/>
      <w:bookmarkStart w:id="23" w:name="_Toc24040"/>
      <w:bookmarkStart w:id="24" w:name="_Toc20624"/>
      <w:bookmarkStart w:id="25" w:name="_Toc255"/>
      <w:bookmarkStart w:id="26" w:name="_Toc23932"/>
      <w:bookmarkStart w:id="27" w:name="_Toc22034"/>
      <w:bookmarkStart w:id="28" w:name="_Toc30919"/>
      <w:bookmarkStart w:id="29" w:name="_Toc25668"/>
      <w:bookmarkStart w:id="30" w:name="_Toc22688"/>
      <w:r>
        <w:rPr>
          <w:rFonts w:hint="eastAsia" w:ascii="微软雅黑" w:hAnsi="微软雅黑" w:eastAsia="微软雅黑"/>
          <w:sz w:val="21"/>
          <w:szCs w:val="22"/>
          <w:lang w:val="en-US" w:eastAsia="zh-CN"/>
        </w:rPr>
        <w:t>职业决策选择要素分析</w:t>
      </w:r>
      <w:bookmarkEnd w:id="21"/>
      <w:bookmarkEnd w:id="22"/>
      <w:bookmarkEnd w:id="23"/>
      <w:bookmarkEnd w:id="24"/>
      <w:bookmarkEnd w:id="25"/>
      <w:bookmarkEnd w:id="26"/>
      <w:bookmarkEnd w:id="27"/>
      <w:bookmarkEnd w:id="28"/>
      <w:bookmarkEnd w:id="29"/>
      <w:bookmarkEnd w:id="30"/>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毕业生在职业选择时，选择要素主要从以下8个方面进行优先的排序，每人可选择3个项目，根据自己的最佳意愿进行排序。从调查结果可知，毕业生对自身的职业发展比较看重，其中个人发展前景有75.21%的毕业生选择，67.32%的毕业生将单位地理位置放在首位，只有15.06%的毕业生将工作舒适度和劳动强度放在首位。</w:t>
      </w:r>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我校毕业生职业决策选择要素分析详见表3-1</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表</w:t>
      </w:r>
      <w:r>
        <w:rPr>
          <w:rFonts w:hint="eastAsia" w:ascii="微软雅黑" w:hAnsi="微软雅黑" w:eastAsia="微软雅黑"/>
          <w:sz w:val="21"/>
          <w:szCs w:val="22"/>
          <w:lang w:val="en-US" w:eastAsia="zh-CN"/>
        </w:rPr>
        <w:t>8-</w:t>
      </w:r>
      <w:r>
        <w:rPr>
          <w:rFonts w:hint="eastAsia" w:ascii="微软雅黑" w:hAnsi="微软雅黑" w:eastAsia="微软雅黑"/>
          <w:sz w:val="21"/>
          <w:szCs w:val="22"/>
        </w:rPr>
        <w:t>1我校毕业生职业决策选择要素分析</w:t>
      </w:r>
    </w:p>
    <w:tbl>
      <w:tblPr>
        <w:tblStyle w:val="16"/>
        <w:tblW w:w="8095"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80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80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职业抉择要素</w:t>
            </w:r>
          </w:p>
        </w:tc>
        <w:tc>
          <w:tcPr>
            <w:tcW w:w="1659"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1</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单位地理位置</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2</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工作稳定性</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3</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薪酬福利</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4</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个人发展前景</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5</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符合自己的兴趣爱好</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6</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符合家庭期望</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7</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工作单位性质和声誉</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8</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lang w:val="en-US" w:eastAsia="zh-CN"/>
              </w:rPr>
            </w:pPr>
            <w:r>
              <w:rPr>
                <w:rFonts w:hint="eastAsia" w:ascii="微软雅黑" w:hAnsi="微软雅黑" w:eastAsia="微软雅黑"/>
                <w:lang w:val="en-US" w:eastAsia="zh-CN"/>
              </w:rPr>
              <w:t>工作舒适度和劳动强度</w:t>
            </w:r>
          </w:p>
        </w:tc>
        <w:tc>
          <w:tcPr>
            <w:tcW w:w="1659"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15.06%</w:t>
            </w:r>
          </w:p>
        </w:tc>
      </w:tr>
    </w:tbl>
    <w:p>
      <w:pPr>
        <w:pStyle w:val="24"/>
        <w:spacing w:line="360" w:lineRule="auto"/>
        <w:rPr>
          <w:rFonts w:hint="eastAsia" w:ascii="微软雅黑" w:hAnsi="微软雅黑" w:eastAsia="微软雅黑"/>
          <w:sz w:val="21"/>
          <w:szCs w:val="22"/>
          <w:lang w:val="en-US" w:eastAsia="zh-CN"/>
        </w:rPr>
      </w:pPr>
      <w:bookmarkStart w:id="31" w:name="_Toc1716"/>
      <w:bookmarkStart w:id="32" w:name="_Toc11508"/>
      <w:bookmarkStart w:id="33" w:name="_Toc10233"/>
      <w:bookmarkStart w:id="34" w:name="_Toc5705"/>
      <w:bookmarkStart w:id="35" w:name="_Toc3110"/>
      <w:bookmarkStart w:id="36" w:name="_Toc18103"/>
      <w:bookmarkStart w:id="37" w:name="_Toc5637"/>
      <w:bookmarkStart w:id="38" w:name="_Toc1040"/>
      <w:bookmarkStart w:id="39" w:name="_Toc24248"/>
      <w:bookmarkStart w:id="40" w:name="_Toc23853"/>
      <w:r>
        <w:rPr>
          <w:rFonts w:hint="eastAsia" w:ascii="微软雅黑" w:hAnsi="微软雅黑" w:eastAsia="微软雅黑"/>
          <w:sz w:val="21"/>
          <w:szCs w:val="22"/>
          <w:lang w:val="en-US" w:eastAsia="zh-CN"/>
        </w:rPr>
        <w:t>求职渠道分析</w:t>
      </w:r>
      <w:bookmarkEnd w:id="31"/>
      <w:bookmarkEnd w:id="32"/>
      <w:bookmarkEnd w:id="33"/>
      <w:bookmarkEnd w:id="34"/>
      <w:bookmarkEnd w:id="35"/>
      <w:bookmarkEnd w:id="36"/>
      <w:bookmarkEnd w:id="37"/>
      <w:bookmarkEnd w:id="38"/>
      <w:bookmarkEnd w:id="39"/>
      <w:bookmarkEnd w:id="40"/>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在毕业生的求职渠道中来自学校的组织的超六成以上占67%，其中学校或系部组织的招聘会占35.22%，学校就业网发布的就职信息占31.76%。</w:t>
      </w:r>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我校毕业生求职渠道分析详见表3-2</w:t>
      </w:r>
    </w:p>
    <w:p>
      <w:pPr>
        <w:pStyle w:val="24"/>
        <w:spacing w:line="360" w:lineRule="auto"/>
        <w:ind w:left="0" w:leftChars="0" w:firstLine="0" w:firstLineChars="0"/>
        <w:jc w:val="both"/>
        <w:rPr>
          <w:rFonts w:hint="eastAsia" w:ascii="微软雅黑" w:hAnsi="微软雅黑" w:eastAsia="微软雅黑"/>
          <w:lang w:val="en-US" w:eastAsia="zh-CN"/>
        </w:rPr>
      </w:pPr>
    </w:p>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表</w:t>
      </w:r>
      <w:r>
        <w:rPr>
          <w:rFonts w:hint="eastAsia" w:ascii="微软雅黑" w:hAnsi="微软雅黑" w:eastAsia="微软雅黑"/>
          <w:lang w:val="en-US" w:eastAsia="zh-CN"/>
        </w:rPr>
        <w:t>3-</w:t>
      </w:r>
      <w:r>
        <w:rPr>
          <w:rFonts w:hint="eastAsia" w:ascii="微软雅黑" w:hAnsi="微软雅黑" w:eastAsia="微软雅黑"/>
        </w:rPr>
        <w:t>2我校毕业生求职渠道分析</w:t>
      </w:r>
    </w:p>
    <w:tbl>
      <w:tblPr>
        <w:tblStyle w:val="16"/>
        <w:tblW w:w="808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80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80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求职渠道</w:t>
            </w:r>
          </w:p>
        </w:tc>
        <w:tc>
          <w:tcPr>
            <w:tcW w:w="1647"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1</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学校或</w:t>
            </w:r>
            <w:r>
              <w:rPr>
                <w:rFonts w:hint="eastAsia" w:ascii="微软雅黑" w:hAnsi="微软雅黑" w:eastAsia="微软雅黑"/>
                <w:lang w:val="en-US" w:eastAsia="zh-CN"/>
              </w:rPr>
              <w:t>系部</w:t>
            </w:r>
            <w:r>
              <w:rPr>
                <w:rFonts w:hint="eastAsia" w:ascii="微软雅黑" w:hAnsi="微软雅黑" w:eastAsia="微软雅黑"/>
              </w:rPr>
              <w:t>组织的招聘会</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学校就业网发布的求职信息</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参加社会人才市场</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自己在校外寻找</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朋友、亲人介绍</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6</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其他</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1.04%</w:t>
            </w:r>
          </w:p>
        </w:tc>
      </w:tr>
    </w:tbl>
    <w:p>
      <w:pPr>
        <w:pStyle w:val="24"/>
        <w:spacing w:line="360" w:lineRule="auto"/>
        <w:rPr>
          <w:rFonts w:hint="eastAsia" w:ascii="微软雅黑" w:hAnsi="微软雅黑" w:eastAsia="微软雅黑"/>
          <w:sz w:val="21"/>
          <w:szCs w:val="22"/>
          <w:lang w:val="en-US" w:eastAsia="zh-CN"/>
        </w:rPr>
      </w:pPr>
      <w:bookmarkStart w:id="41" w:name="_Toc32151"/>
      <w:bookmarkStart w:id="42" w:name="_Toc25945"/>
      <w:bookmarkStart w:id="43" w:name="_Toc17781"/>
      <w:bookmarkStart w:id="44" w:name="_Toc6810"/>
      <w:bookmarkStart w:id="45" w:name="_Toc14511"/>
      <w:bookmarkStart w:id="46" w:name="_Toc6232"/>
      <w:bookmarkStart w:id="47" w:name="_Toc5467"/>
      <w:bookmarkStart w:id="48" w:name="_Toc15962"/>
      <w:bookmarkStart w:id="49" w:name="_Toc12405"/>
      <w:bookmarkStart w:id="50" w:name="_Toc20269"/>
      <w:r>
        <w:rPr>
          <w:rFonts w:hint="eastAsia" w:ascii="微软雅黑" w:hAnsi="微软雅黑" w:eastAsia="微软雅黑"/>
          <w:sz w:val="21"/>
          <w:szCs w:val="22"/>
          <w:lang w:val="en-US" w:eastAsia="zh-CN"/>
        </w:rPr>
        <w:t>薪资范围分析</w:t>
      </w:r>
      <w:bookmarkEnd w:id="41"/>
      <w:bookmarkEnd w:id="42"/>
      <w:bookmarkEnd w:id="43"/>
      <w:bookmarkEnd w:id="44"/>
      <w:bookmarkEnd w:id="45"/>
      <w:bookmarkEnd w:id="46"/>
      <w:bookmarkEnd w:id="47"/>
      <w:bookmarkEnd w:id="48"/>
      <w:bookmarkEnd w:id="49"/>
      <w:bookmarkEnd w:id="50"/>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毕业生的薪资在中档3000元-4000元的比例较大。</w:t>
      </w:r>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我校毕业生薪资范围统计详见表3-3</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表</w:t>
      </w:r>
      <w:r>
        <w:rPr>
          <w:rFonts w:hint="eastAsia" w:ascii="微软雅黑" w:hAnsi="微软雅黑" w:eastAsia="微软雅黑"/>
          <w:sz w:val="21"/>
          <w:szCs w:val="22"/>
          <w:lang w:val="en-US" w:eastAsia="zh-CN"/>
        </w:rPr>
        <w:t>3-</w:t>
      </w:r>
      <w:r>
        <w:rPr>
          <w:rFonts w:hint="eastAsia" w:ascii="微软雅黑" w:hAnsi="微软雅黑" w:eastAsia="微软雅黑"/>
          <w:sz w:val="21"/>
          <w:szCs w:val="22"/>
        </w:rPr>
        <w:t>3我校毕业生薪资范围统计</w:t>
      </w:r>
    </w:p>
    <w:tbl>
      <w:tblPr>
        <w:tblStyle w:val="16"/>
        <w:tblW w:w="808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80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80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薪资范围</w:t>
            </w:r>
          </w:p>
        </w:tc>
        <w:tc>
          <w:tcPr>
            <w:tcW w:w="1647"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1</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2000</w:t>
            </w:r>
            <w:r>
              <w:rPr>
                <w:rFonts w:hint="eastAsia" w:ascii="微软雅黑" w:hAnsi="微软雅黑" w:eastAsia="微软雅黑"/>
                <w:lang w:val="en-US" w:eastAsia="zh-CN"/>
              </w:rPr>
              <w:t>以下</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2000元-3000元</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3000元-4000元</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4000元-5000元</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5000元以上</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5.12%</w:t>
            </w:r>
          </w:p>
        </w:tc>
      </w:tr>
    </w:tbl>
    <w:p>
      <w:pPr>
        <w:pStyle w:val="24"/>
        <w:spacing w:line="360" w:lineRule="auto"/>
        <w:ind w:left="0" w:leftChars="0" w:firstLine="0" w:firstLineChars="0"/>
        <w:jc w:val="both"/>
        <w:rPr>
          <w:rFonts w:hint="eastAsia" w:ascii="微软雅黑" w:hAnsi="微软雅黑" w:eastAsia="微软雅黑"/>
        </w:rPr>
      </w:pPr>
    </w:p>
    <w:p>
      <w:pPr>
        <w:pStyle w:val="24"/>
        <w:spacing w:line="360" w:lineRule="auto"/>
        <w:rPr>
          <w:rFonts w:hint="eastAsia" w:ascii="微软雅黑" w:hAnsi="微软雅黑" w:eastAsia="微软雅黑"/>
          <w:sz w:val="21"/>
          <w:szCs w:val="22"/>
          <w:lang w:val="en-US" w:eastAsia="zh-CN"/>
        </w:rPr>
      </w:pPr>
      <w:bookmarkStart w:id="51" w:name="_Toc30132"/>
      <w:bookmarkStart w:id="52" w:name="_Toc27956"/>
      <w:bookmarkStart w:id="53" w:name="_Toc10562"/>
      <w:bookmarkStart w:id="54" w:name="_Toc9733"/>
      <w:bookmarkStart w:id="55" w:name="_Toc18041"/>
      <w:bookmarkStart w:id="56" w:name="_Toc28314"/>
      <w:bookmarkStart w:id="57" w:name="_Toc10658"/>
      <w:bookmarkStart w:id="58" w:name="_Toc26886"/>
      <w:bookmarkStart w:id="59" w:name="_Toc7396"/>
      <w:bookmarkStart w:id="60" w:name="_Toc9404"/>
      <w:r>
        <w:rPr>
          <w:rFonts w:hint="eastAsia" w:ascii="微软雅黑" w:hAnsi="微软雅黑" w:eastAsia="微软雅黑"/>
          <w:sz w:val="21"/>
          <w:szCs w:val="22"/>
          <w:lang w:val="en-US" w:eastAsia="zh-CN"/>
        </w:rPr>
        <w:t>择业成功的主要原因</w:t>
      </w:r>
      <w:bookmarkEnd w:id="51"/>
      <w:bookmarkEnd w:id="52"/>
      <w:bookmarkEnd w:id="53"/>
      <w:bookmarkEnd w:id="54"/>
      <w:bookmarkEnd w:id="55"/>
      <w:bookmarkEnd w:id="56"/>
      <w:bookmarkEnd w:id="57"/>
      <w:bookmarkEnd w:id="58"/>
      <w:r>
        <w:rPr>
          <w:rFonts w:hint="eastAsia" w:ascii="微软雅黑" w:hAnsi="微软雅黑" w:eastAsia="微软雅黑"/>
          <w:sz w:val="21"/>
          <w:szCs w:val="22"/>
          <w:lang w:val="en-US" w:eastAsia="zh-CN"/>
        </w:rPr>
        <w:t>分析</w:t>
      </w:r>
      <w:bookmarkEnd w:id="59"/>
      <w:bookmarkEnd w:id="60"/>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 xml:space="preserve">    我校毕业生择业成功原因分析详见表3-4</w:t>
      </w:r>
    </w:p>
    <w:p>
      <w:pPr>
        <w:pStyle w:val="24"/>
        <w:spacing w:line="360" w:lineRule="auto"/>
        <w:rPr>
          <w:rFonts w:hint="eastAsia" w:ascii="微软雅黑" w:hAnsi="微软雅黑" w:eastAsia="微软雅黑"/>
          <w:sz w:val="21"/>
          <w:szCs w:val="22"/>
        </w:rPr>
      </w:pPr>
      <w:r>
        <w:rPr>
          <w:rFonts w:hint="eastAsia" w:ascii="微软雅黑" w:hAnsi="微软雅黑" w:eastAsia="微软雅黑"/>
          <w:sz w:val="21"/>
          <w:szCs w:val="22"/>
        </w:rPr>
        <w:t>表</w:t>
      </w:r>
      <w:r>
        <w:rPr>
          <w:rFonts w:hint="eastAsia" w:ascii="微软雅黑" w:hAnsi="微软雅黑" w:eastAsia="微软雅黑"/>
          <w:sz w:val="21"/>
          <w:szCs w:val="22"/>
          <w:lang w:val="en-US" w:eastAsia="zh-CN"/>
        </w:rPr>
        <w:t>3-</w:t>
      </w:r>
      <w:r>
        <w:rPr>
          <w:rFonts w:hint="eastAsia" w:ascii="微软雅黑" w:hAnsi="微软雅黑" w:eastAsia="微软雅黑"/>
          <w:sz w:val="21"/>
          <w:szCs w:val="22"/>
        </w:rPr>
        <w:t>4我校毕业生择业成功原因分析</w:t>
      </w:r>
    </w:p>
    <w:tbl>
      <w:tblPr>
        <w:tblStyle w:val="16"/>
        <w:tblW w:w="808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808"/>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80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成功原因</w:t>
            </w:r>
          </w:p>
        </w:tc>
        <w:tc>
          <w:tcPr>
            <w:tcW w:w="1647"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1</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学习成绩突出</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综合素质强</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担任社会工作的经历</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自我推荐的能力强</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学校就业工作的效果好</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6</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对用人单位了解</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7</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选择了合适的择业标准</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7.52%</w:t>
            </w:r>
          </w:p>
        </w:tc>
      </w:tr>
    </w:tbl>
    <w:p>
      <w:pPr>
        <w:pStyle w:val="24"/>
        <w:spacing w:line="360" w:lineRule="auto"/>
        <w:rPr>
          <w:rFonts w:hint="eastAsia" w:ascii="微软雅黑" w:hAnsi="微软雅黑" w:eastAsia="微软雅黑"/>
          <w:sz w:val="21"/>
          <w:szCs w:val="22"/>
          <w:lang w:val="en-US" w:eastAsia="zh-CN"/>
        </w:rPr>
      </w:pPr>
      <w:bookmarkStart w:id="61" w:name="_Toc1525"/>
      <w:bookmarkStart w:id="62" w:name="_Toc29748"/>
      <w:bookmarkStart w:id="63" w:name="_Toc16674"/>
      <w:bookmarkStart w:id="64" w:name="_Toc16858"/>
      <w:bookmarkStart w:id="65" w:name="_Toc22071"/>
      <w:bookmarkStart w:id="66" w:name="_Toc27738"/>
      <w:r>
        <w:rPr>
          <w:rFonts w:hint="eastAsia" w:ascii="微软雅黑" w:hAnsi="微软雅黑" w:eastAsia="微软雅黑"/>
          <w:sz w:val="21"/>
          <w:szCs w:val="22"/>
          <w:lang w:val="en-US" w:eastAsia="zh-CN"/>
        </w:rPr>
        <w:t>求职过程中最需要提高的能力</w:t>
      </w:r>
      <w:bookmarkEnd w:id="61"/>
      <w:bookmarkEnd w:id="62"/>
      <w:bookmarkEnd w:id="63"/>
      <w:bookmarkEnd w:id="64"/>
      <w:r>
        <w:rPr>
          <w:rFonts w:hint="eastAsia" w:ascii="微软雅黑" w:hAnsi="微软雅黑" w:eastAsia="微软雅黑"/>
          <w:sz w:val="21"/>
          <w:szCs w:val="22"/>
          <w:lang w:val="en-US" w:eastAsia="zh-CN"/>
        </w:rPr>
        <w:t>分析</w:t>
      </w:r>
      <w:bookmarkEnd w:id="65"/>
      <w:bookmarkEnd w:id="66"/>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 xml:space="preserve">     我校毕业生求职中需提高的能力分析详见表3-5</w:t>
      </w:r>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表3-5我校毕业生求职中需提高的能力分析</w:t>
      </w:r>
    </w:p>
    <w:tbl>
      <w:tblPr>
        <w:tblStyle w:val="16"/>
        <w:tblW w:w="8071"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796"/>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796"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能力需求</w:t>
            </w:r>
          </w:p>
        </w:tc>
        <w:tc>
          <w:tcPr>
            <w:tcW w:w="1647"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1</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专业知识</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实践动手能力</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人际交往能力</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语言表达能力</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文字能力</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6</w:t>
            </w:r>
          </w:p>
        </w:tc>
        <w:tc>
          <w:tcPr>
            <w:tcW w:w="5796"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外语、计算机能力</w:t>
            </w:r>
          </w:p>
        </w:tc>
        <w:tc>
          <w:tcPr>
            <w:tcW w:w="1647"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0.86%</w:t>
            </w:r>
          </w:p>
        </w:tc>
      </w:tr>
    </w:tbl>
    <w:p>
      <w:pPr>
        <w:pStyle w:val="24"/>
        <w:spacing w:line="360" w:lineRule="auto"/>
        <w:rPr>
          <w:rFonts w:hint="eastAsia" w:ascii="微软雅黑" w:hAnsi="微软雅黑" w:eastAsia="微软雅黑"/>
          <w:sz w:val="21"/>
          <w:szCs w:val="22"/>
          <w:lang w:val="en-US" w:eastAsia="zh-CN"/>
        </w:rPr>
      </w:pPr>
      <w:bookmarkStart w:id="67" w:name="_Toc28263"/>
      <w:bookmarkStart w:id="68" w:name="_Toc3239"/>
      <w:bookmarkStart w:id="69" w:name="_Toc18511"/>
      <w:bookmarkStart w:id="70" w:name="_Toc22529"/>
      <w:bookmarkStart w:id="71" w:name="_Toc19064"/>
      <w:bookmarkStart w:id="72" w:name="_Toc12367"/>
      <w:r>
        <w:rPr>
          <w:rFonts w:hint="eastAsia" w:ascii="微软雅黑" w:hAnsi="微软雅黑" w:eastAsia="微软雅黑"/>
          <w:sz w:val="21"/>
          <w:szCs w:val="22"/>
          <w:lang w:val="en-US" w:eastAsia="zh-CN"/>
        </w:rPr>
        <w:t>就业指导与服务工作的重要</w:t>
      </w:r>
      <w:bookmarkEnd w:id="67"/>
      <w:bookmarkEnd w:id="68"/>
      <w:r>
        <w:rPr>
          <w:rFonts w:hint="eastAsia" w:ascii="微软雅黑" w:hAnsi="微软雅黑" w:eastAsia="微软雅黑"/>
          <w:sz w:val="21"/>
          <w:szCs w:val="22"/>
          <w:lang w:val="en-US" w:eastAsia="zh-CN"/>
        </w:rPr>
        <w:t>因素</w:t>
      </w:r>
      <w:bookmarkEnd w:id="69"/>
      <w:bookmarkEnd w:id="70"/>
      <w:r>
        <w:rPr>
          <w:rFonts w:hint="eastAsia" w:ascii="微软雅黑" w:hAnsi="微软雅黑" w:eastAsia="微软雅黑"/>
          <w:sz w:val="21"/>
          <w:szCs w:val="22"/>
          <w:lang w:val="en-US" w:eastAsia="zh-CN"/>
        </w:rPr>
        <w:t>分析</w:t>
      </w:r>
      <w:bookmarkEnd w:id="71"/>
      <w:bookmarkEnd w:id="72"/>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 xml:space="preserve">    我校毕业生在就业指导和服务工作中的重要因素分析详见表3-6</w:t>
      </w:r>
    </w:p>
    <w:p>
      <w:pPr>
        <w:pStyle w:val="24"/>
        <w:spacing w:line="360" w:lineRule="auto"/>
        <w:rPr>
          <w:rFonts w:hint="eastAsia" w:ascii="微软雅黑" w:hAnsi="微软雅黑" w:eastAsia="微软雅黑"/>
          <w:sz w:val="21"/>
          <w:szCs w:val="22"/>
          <w:lang w:val="en-US" w:eastAsia="zh-CN"/>
        </w:rPr>
      </w:pPr>
      <w:r>
        <w:rPr>
          <w:rFonts w:hint="eastAsia" w:ascii="微软雅黑" w:hAnsi="微软雅黑" w:eastAsia="微软雅黑"/>
          <w:sz w:val="21"/>
          <w:szCs w:val="22"/>
          <w:lang w:val="en-US" w:eastAsia="zh-CN"/>
        </w:rPr>
        <w:t>表3-6我校毕业生在就业指导和服务工作中的重要因素分析</w:t>
      </w:r>
    </w:p>
    <w:tbl>
      <w:tblPr>
        <w:tblStyle w:val="16"/>
        <w:tblW w:w="8071"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5808"/>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序号</w:t>
            </w:r>
          </w:p>
        </w:tc>
        <w:tc>
          <w:tcPr>
            <w:tcW w:w="5808"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lang w:eastAsia="zh-CN"/>
              </w:rPr>
            </w:pPr>
            <w:r>
              <w:rPr>
                <w:rFonts w:hint="eastAsia" w:ascii="微软雅黑" w:hAnsi="微软雅黑" w:eastAsia="微软雅黑"/>
                <w:lang w:eastAsia="zh-CN"/>
              </w:rPr>
              <w:t>就业指导与服务类别</w:t>
            </w:r>
          </w:p>
        </w:tc>
        <w:tc>
          <w:tcPr>
            <w:tcW w:w="1635" w:type="dxa"/>
            <w:shd w:val="clear" w:color="auto" w:fill="4F81BD"/>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2017</w:t>
            </w:r>
            <w:r>
              <w:rPr>
                <w:rFonts w:hint="eastAsia" w:ascii="微软雅黑" w:hAnsi="微软雅黑" w:eastAsia="微软雅黑"/>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1</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准确有效的就业信息</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2</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校园招聘会</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3</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专业和个性化的就业指导</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4</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就业指导课</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5</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从低年级考试进行职业规划教育</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6</w:t>
            </w:r>
          </w:p>
        </w:tc>
        <w:tc>
          <w:tcPr>
            <w:tcW w:w="5808"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rPr>
              <w:t>进行创业指导</w:t>
            </w:r>
          </w:p>
        </w:tc>
        <w:tc>
          <w:tcPr>
            <w:tcW w:w="1635" w:type="dxa"/>
            <w:shd w:val="clear" w:color="auto" w:fill="FFFFFF"/>
            <w:vAlign w:val="center"/>
          </w:tcPr>
          <w:p>
            <w:pPr>
              <w:pStyle w:val="24"/>
              <w:spacing w:line="360" w:lineRule="auto"/>
              <w:ind w:left="0" w:leftChars="0" w:firstLine="0" w:firstLineChars="0"/>
              <w:jc w:val="both"/>
              <w:rPr>
                <w:rFonts w:hint="eastAsia" w:ascii="微软雅黑" w:hAnsi="微软雅黑" w:eastAsia="微软雅黑"/>
              </w:rPr>
            </w:pPr>
            <w:r>
              <w:rPr>
                <w:rFonts w:hint="eastAsia" w:ascii="微软雅黑" w:hAnsi="微软雅黑" w:eastAsia="微软雅黑"/>
                <w:lang w:val="en-US" w:eastAsia="zh-CN"/>
              </w:rPr>
              <w:t>3.79%</w:t>
            </w:r>
          </w:p>
        </w:tc>
      </w:tr>
    </w:tbl>
    <w:p>
      <w:pPr>
        <w:pStyle w:val="24"/>
        <w:spacing w:line="360" w:lineRule="auto"/>
        <w:ind w:left="0" w:leftChars="0" w:firstLine="0" w:firstLineChars="0"/>
        <w:jc w:val="both"/>
        <w:rPr>
          <w:rFonts w:hint="eastAsia" w:ascii="微软雅黑" w:hAnsi="微软雅黑" w:eastAsia="微软雅黑"/>
          <w:lang w:val="en-US" w:eastAsia="zh-CN"/>
        </w:rPr>
      </w:pPr>
      <w:bookmarkStart w:id="73" w:name="_Toc29968"/>
      <w:bookmarkStart w:id="74" w:name="_Toc14256"/>
      <w:bookmarkStart w:id="75" w:name="_Toc8804"/>
      <w:bookmarkStart w:id="76" w:name="_Toc11047"/>
      <w:bookmarkStart w:id="77" w:name="_Toc26863"/>
      <w:bookmarkStart w:id="78" w:name="_Toc12811"/>
      <w:bookmarkStart w:id="79" w:name="_Toc2282"/>
    </w:p>
    <w:p>
      <w:pPr>
        <w:pStyle w:val="24"/>
        <w:spacing w:line="360" w:lineRule="auto"/>
        <w:ind w:left="0" w:leftChars="0" w:firstLine="0" w:firstLineChars="0"/>
        <w:jc w:val="both"/>
        <w:rPr>
          <w:rFonts w:hint="eastAsia" w:ascii="微软雅黑" w:hAnsi="微软雅黑" w:eastAsia="微软雅黑"/>
          <w:lang w:val="en-US" w:eastAsia="zh-CN"/>
        </w:rPr>
      </w:pPr>
    </w:p>
    <w:bookmarkEnd w:id="73"/>
    <w:bookmarkEnd w:id="74"/>
    <w:bookmarkEnd w:id="75"/>
    <w:bookmarkEnd w:id="76"/>
    <w:bookmarkEnd w:id="77"/>
    <w:bookmarkEnd w:id="78"/>
    <w:bookmarkEnd w:id="79"/>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80" w:name="_Toc3727"/>
      <w:bookmarkStart w:id="81" w:name="_Toc31342"/>
      <w:bookmarkStart w:id="82" w:name="_Toc31704"/>
      <w:bookmarkStart w:id="83" w:name="_Toc28366"/>
      <w:r>
        <w:rPr>
          <w:rFonts w:hint="eastAsia" w:ascii="微软雅黑" w:hAnsi="微软雅黑" w:eastAsia="微软雅黑" w:cs="微软雅黑"/>
          <w:b w:val="0"/>
          <w:bCs w:val="0"/>
          <w:sz w:val="30"/>
          <w:szCs w:val="30"/>
          <w:lang w:val="en-US" w:eastAsia="zh-CN"/>
        </w:rPr>
        <w:t>满意度调查分析</w:t>
      </w:r>
      <w:bookmarkEnd w:id="80"/>
      <w:bookmarkEnd w:id="81"/>
      <w:bookmarkEnd w:id="82"/>
      <w:bookmarkEnd w:id="83"/>
    </w:p>
    <w:p>
      <w:pPr>
        <w:pStyle w:val="3"/>
        <w:keepNext/>
        <w:keepLines/>
        <w:pageBreakBefore w:val="0"/>
        <w:widowControl w:val="0"/>
        <w:numPr>
          <w:ilvl w:val="0"/>
          <w:numId w:val="11"/>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84" w:name="_Toc11817"/>
      <w:bookmarkStart w:id="85" w:name="_Toc10718"/>
      <w:bookmarkStart w:id="86" w:name="_Toc29160"/>
      <w:bookmarkStart w:id="87" w:name="_Toc23423"/>
      <w:bookmarkStart w:id="88" w:name="_Toc16520"/>
      <w:bookmarkStart w:id="89" w:name="_Toc13512"/>
      <w:bookmarkStart w:id="90" w:name="_Toc24628"/>
      <w:bookmarkStart w:id="91" w:name="_Toc30196"/>
      <w:bookmarkStart w:id="92" w:name="_Toc22920"/>
      <w:bookmarkStart w:id="93" w:name="_Toc6955"/>
      <w:bookmarkStart w:id="94" w:name="_Toc16360"/>
      <w:r>
        <w:rPr>
          <w:rFonts w:hint="eastAsia" w:ascii="微软雅黑" w:hAnsi="微软雅黑" w:eastAsia="微软雅黑" w:cs="微软雅黑"/>
          <w:b w:val="0"/>
          <w:bCs w:val="0"/>
          <w:sz w:val="28"/>
          <w:szCs w:val="28"/>
          <w:lang w:val="en-US" w:eastAsia="zh-CN"/>
        </w:rPr>
        <w:t>用人单位满意度调查</w:t>
      </w:r>
      <w:bookmarkEnd w:id="84"/>
      <w:bookmarkEnd w:id="85"/>
      <w:bookmarkEnd w:id="86"/>
      <w:bookmarkEnd w:id="87"/>
      <w:bookmarkEnd w:id="88"/>
      <w:bookmarkEnd w:id="89"/>
      <w:bookmarkEnd w:id="90"/>
      <w:bookmarkEnd w:id="91"/>
      <w:bookmarkEnd w:id="92"/>
      <w:bookmarkEnd w:id="93"/>
      <w:bookmarkEnd w:id="94"/>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据第三方评价公司安徽信通信息服务有限公司通对2017年接收毕业生就业2人以上的119家用人单位（共接收毕业生就业268人，占就业总数的37.11%）所做的调查显示，2017年我校毕业生平均薪酬为3126元/月，，用人单位对我校毕业生、对学校的满意度较高。</w:t>
      </w:r>
    </w:p>
    <w:p>
      <w:pPr>
        <w:keepNext w:val="0"/>
        <w:keepLines w:val="0"/>
        <w:pageBreakBefore w:val="0"/>
        <w:widowControl w:val="0"/>
        <w:numPr>
          <w:numId w:val="0"/>
        </w:numPr>
        <w:kinsoku/>
        <w:wordWrap/>
        <w:overflowPunct/>
        <w:topLinePunct w:val="0"/>
        <w:autoSpaceDE/>
        <w:autoSpaceDN/>
        <w:bidi w:val="0"/>
        <w:adjustRightInd/>
        <w:snapToGrid/>
        <w:spacing w:before="0" w:beforeLines="50" w:line="360" w:lineRule="auto"/>
        <w:ind w:left="420" w:leftChars="0" w:right="0" w:rightChars="0"/>
        <w:jc w:val="both"/>
        <w:textAlignment w:val="auto"/>
        <w:outlineLvl w:val="9"/>
        <w:rPr>
          <w:rFonts w:hint="eastAsia" w:ascii="微软雅黑" w:hAnsi="微软雅黑" w:eastAsia="微软雅黑"/>
          <w:color w:val="000000"/>
          <w:sz w:val="24"/>
          <w:szCs w:val="24"/>
          <w:lang w:val="en-US" w:eastAsia="zh-CN"/>
        </w:rPr>
      </w:pPr>
      <w:bookmarkStart w:id="95" w:name="_Toc13959"/>
      <w:bookmarkStart w:id="96" w:name="_Toc18107"/>
      <w:r>
        <w:rPr>
          <w:rFonts w:hint="eastAsia" w:ascii="微软雅黑" w:hAnsi="微软雅黑" w:eastAsia="微软雅黑"/>
          <w:color w:val="000000"/>
          <w:sz w:val="24"/>
          <w:szCs w:val="24"/>
          <w:lang w:val="en-US" w:eastAsia="zh-CN"/>
        </w:rPr>
        <w:t>1、用人单位对毕业生满意度高</w:t>
      </w:r>
      <w:bookmarkEnd w:id="95"/>
      <w:bookmarkEnd w:id="96"/>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用人单位对我校毕业生的专业知识与技能的满意度为93.01%，对毕业生在工作实践中知识更新及创新能力的满意度为91.55%。</w:t>
      </w:r>
    </w:p>
    <w:p>
      <w:pPr>
        <w:keepNext w:val="0"/>
        <w:keepLines w:val="0"/>
        <w:pageBreakBefore w:val="0"/>
        <w:widowControl w:val="0"/>
        <w:numPr>
          <w:numId w:val="0"/>
        </w:numPr>
        <w:kinsoku/>
        <w:wordWrap/>
        <w:overflowPunct/>
        <w:topLinePunct w:val="0"/>
        <w:autoSpaceDE/>
        <w:autoSpaceDN/>
        <w:bidi w:val="0"/>
        <w:adjustRightInd/>
        <w:snapToGrid/>
        <w:spacing w:before="0" w:beforeLines="50" w:line="360" w:lineRule="auto"/>
        <w:ind w:left="420" w:leftChars="0" w:right="0" w:rightChars="0"/>
        <w:jc w:val="both"/>
        <w:textAlignment w:val="auto"/>
        <w:outlineLvl w:val="9"/>
        <w:rPr>
          <w:rFonts w:hint="eastAsia" w:ascii="微软雅黑" w:hAnsi="微软雅黑" w:eastAsia="微软雅黑"/>
          <w:color w:val="000000"/>
          <w:sz w:val="24"/>
          <w:szCs w:val="24"/>
          <w:lang w:val="en-US" w:eastAsia="zh-CN"/>
        </w:rPr>
      </w:pPr>
      <w:bookmarkStart w:id="97" w:name="_Toc13216"/>
      <w:bookmarkStart w:id="98" w:name="_Toc24727"/>
      <w:r>
        <w:rPr>
          <w:rFonts w:hint="eastAsia" w:ascii="微软雅黑" w:hAnsi="微软雅黑" w:eastAsia="微软雅黑"/>
          <w:color w:val="000000"/>
          <w:sz w:val="24"/>
          <w:szCs w:val="24"/>
          <w:lang w:val="en-US" w:eastAsia="zh-CN"/>
        </w:rPr>
        <w:t>2、用人单位对学校满意度高</w:t>
      </w:r>
      <w:bookmarkEnd w:id="97"/>
      <w:bookmarkEnd w:id="98"/>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用人单位对学校人才培养整体水平的满意度为100%、对学校为用人单位招聘毕业生所提供各类服务的内容、方式的满意度为100%、对学校就业服务工作整体水平的满意度为100%。</w:t>
      </w:r>
    </w:p>
    <w:p>
      <w:pPr>
        <w:pStyle w:val="3"/>
        <w:keepNext/>
        <w:keepLines/>
        <w:pageBreakBefore w:val="0"/>
        <w:widowControl w:val="0"/>
        <w:numPr>
          <w:ilvl w:val="0"/>
          <w:numId w:val="11"/>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99" w:name="_Toc14736"/>
      <w:bookmarkStart w:id="100" w:name="_Toc20332"/>
      <w:bookmarkStart w:id="101" w:name="_Toc20000"/>
      <w:bookmarkStart w:id="102" w:name="_Toc24133"/>
      <w:bookmarkStart w:id="103" w:name="_Toc17238"/>
      <w:r>
        <w:rPr>
          <w:rFonts w:hint="eastAsia" w:ascii="微软雅黑" w:hAnsi="微软雅黑" w:eastAsia="微软雅黑" w:cs="微软雅黑"/>
          <w:b w:val="0"/>
          <w:bCs w:val="0"/>
          <w:sz w:val="28"/>
          <w:szCs w:val="28"/>
          <w:lang w:val="en-US" w:eastAsia="zh-CN"/>
        </w:rPr>
        <w:t>毕业生满意度调查</w:t>
      </w:r>
      <w:bookmarkEnd w:id="99"/>
      <w:bookmarkEnd w:id="100"/>
      <w:bookmarkEnd w:id="101"/>
      <w:bookmarkEnd w:id="102"/>
      <w:bookmarkEnd w:id="103"/>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据第三方评价公司安徽信通信息服务有限公司对221名毕业生所做的调查显示（被调查毕业生数占毕业生总数的30.6%），毕业生对就业单位、对学校满意度高。</w:t>
      </w:r>
    </w:p>
    <w:p>
      <w:pPr>
        <w:keepNext w:val="0"/>
        <w:keepLines w:val="0"/>
        <w:pageBreakBefore w:val="0"/>
        <w:widowControl w:val="0"/>
        <w:numPr>
          <w:numId w:val="0"/>
        </w:numPr>
        <w:kinsoku/>
        <w:wordWrap/>
        <w:overflowPunct/>
        <w:topLinePunct w:val="0"/>
        <w:autoSpaceDE/>
        <w:autoSpaceDN/>
        <w:bidi w:val="0"/>
        <w:adjustRightInd/>
        <w:snapToGrid/>
        <w:spacing w:before="0" w:beforeLines="50" w:line="360" w:lineRule="auto"/>
        <w:ind w:left="420" w:leftChars="0" w:right="0" w:rightChars="0"/>
        <w:jc w:val="both"/>
        <w:textAlignment w:val="auto"/>
        <w:outlineLvl w:val="9"/>
        <w:rPr>
          <w:rFonts w:hint="eastAsia" w:ascii="微软雅黑" w:hAnsi="微软雅黑" w:eastAsia="微软雅黑"/>
          <w:color w:val="000000"/>
          <w:sz w:val="24"/>
          <w:szCs w:val="24"/>
          <w:lang w:val="en-US" w:eastAsia="zh-CN"/>
        </w:rPr>
      </w:pPr>
      <w:bookmarkStart w:id="104" w:name="_Toc27469"/>
      <w:bookmarkStart w:id="105" w:name="_Toc30872"/>
      <w:r>
        <w:rPr>
          <w:rFonts w:hint="eastAsia" w:ascii="微软雅黑" w:hAnsi="微软雅黑" w:eastAsia="微软雅黑"/>
          <w:color w:val="000000"/>
          <w:sz w:val="24"/>
          <w:szCs w:val="24"/>
          <w:lang w:val="en-US" w:eastAsia="zh-CN"/>
        </w:rPr>
        <w:t>1、毕业生对就业单位满意度高</w:t>
      </w:r>
      <w:bookmarkEnd w:id="104"/>
      <w:bookmarkEnd w:id="105"/>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毕业生对签约单位很满意和比较满意的占97.44%，毕业生就业岗位与专业的对口率较高，完全对口和比较对口的比例达95.41%，对工作的适应程度满意度为92.77%。</w:t>
      </w:r>
    </w:p>
    <w:p>
      <w:pPr>
        <w:keepNext w:val="0"/>
        <w:keepLines w:val="0"/>
        <w:pageBreakBefore w:val="0"/>
        <w:widowControl w:val="0"/>
        <w:numPr>
          <w:numId w:val="0"/>
        </w:numPr>
        <w:kinsoku/>
        <w:wordWrap/>
        <w:overflowPunct/>
        <w:topLinePunct w:val="0"/>
        <w:autoSpaceDE/>
        <w:autoSpaceDN/>
        <w:bidi w:val="0"/>
        <w:adjustRightInd/>
        <w:snapToGrid/>
        <w:spacing w:before="0" w:beforeLines="50" w:line="360" w:lineRule="auto"/>
        <w:ind w:left="420" w:leftChars="0" w:right="0" w:rightChars="0"/>
        <w:jc w:val="both"/>
        <w:textAlignment w:val="auto"/>
        <w:outlineLvl w:val="9"/>
        <w:rPr>
          <w:rFonts w:hint="eastAsia" w:ascii="微软雅黑" w:hAnsi="微软雅黑" w:eastAsia="微软雅黑"/>
          <w:color w:val="000000"/>
          <w:sz w:val="24"/>
          <w:szCs w:val="24"/>
          <w:lang w:val="en-US" w:eastAsia="zh-CN"/>
        </w:rPr>
      </w:pPr>
      <w:bookmarkStart w:id="106" w:name="_Toc4154"/>
      <w:bookmarkStart w:id="107" w:name="_Toc25837"/>
      <w:r>
        <w:rPr>
          <w:rFonts w:hint="eastAsia" w:ascii="微软雅黑" w:hAnsi="微软雅黑" w:eastAsia="微软雅黑"/>
          <w:color w:val="000000"/>
          <w:sz w:val="24"/>
          <w:szCs w:val="24"/>
          <w:lang w:val="en-US" w:eastAsia="zh-CN"/>
        </w:rPr>
        <w:t>2、毕业生对学校满意度高</w:t>
      </w:r>
      <w:bookmarkEnd w:id="106"/>
      <w:bookmarkEnd w:id="107"/>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毕业生对学校和系部</w:t>
      </w:r>
      <w:bookmarkStart w:id="118" w:name="_GoBack"/>
      <w:bookmarkEnd w:id="118"/>
      <w:r>
        <w:rPr>
          <w:rFonts w:hint="eastAsia" w:ascii="微软雅黑" w:hAnsi="微软雅黑" w:eastAsia="微软雅黑" w:cstheme="minorBidi"/>
          <w:kern w:val="2"/>
          <w:sz w:val="21"/>
          <w:szCs w:val="22"/>
          <w:lang w:val="en-US" w:eastAsia="zh-CN" w:bidi="ar-SA"/>
        </w:rPr>
        <w:t>获得就业信息的满意度为94.56%，对学校校园招聘会的满意度为95.08%，对就业指导与服务的满意度为98.33%，对基础课、公共课教师教学效果的满意度为92.69%，对就业指导课教师教学的效果的满意度为95.65%。</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100" w:after="0" w:afterLines="100" w:line="360" w:lineRule="auto"/>
        <w:ind w:left="1083" w:leftChars="0" w:right="0" w:rightChars="0" w:hanging="1083" w:firstLineChars="0"/>
        <w:jc w:val="center"/>
        <w:textAlignment w:val="auto"/>
        <w:outlineLvl w:val="0"/>
        <w:rPr>
          <w:rFonts w:hint="eastAsia" w:ascii="微软雅黑" w:hAnsi="微软雅黑" w:eastAsia="微软雅黑" w:cs="微软雅黑"/>
          <w:b w:val="0"/>
          <w:bCs w:val="0"/>
          <w:sz w:val="30"/>
          <w:szCs w:val="30"/>
          <w:lang w:val="en-US" w:eastAsia="zh-CN"/>
        </w:rPr>
      </w:pPr>
      <w:bookmarkStart w:id="108" w:name="_Toc6921"/>
      <w:r>
        <w:rPr>
          <w:rFonts w:hint="eastAsia" w:ascii="微软雅黑" w:hAnsi="微软雅黑" w:eastAsia="微软雅黑" w:cs="微软雅黑"/>
          <w:b w:val="0"/>
          <w:bCs w:val="0"/>
          <w:sz w:val="30"/>
          <w:szCs w:val="30"/>
          <w:lang w:val="en-US" w:eastAsia="zh-CN"/>
        </w:rPr>
        <w:t>毕业生就业工作的主要特点</w:t>
      </w:r>
      <w:bookmarkEnd w:id="108"/>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09" w:name="_Toc23401"/>
      <w:r>
        <w:rPr>
          <w:rFonts w:hint="eastAsia" w:ascii="微软雅黑" w:hAnsi="微软雅黑" w:eastAsia="微软雅黑" w:cs="微软雅黑"/>
          <w:b w:val="0"/>
          <w:bCs w:val="0"/>
          <w:sz w:val="28"/>
          <w:szCs w:val="28"/>
          <w:lang w:val="en-US" w:eastAsia="zh-CN"/>
        </w:rPr>
        <w:t>学院领导重视毕业生就业工作</w:t>
      </w:r>
      <w:bookmarkEnd w:id="109"/>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学院党政领导高度重视毕业生就业创业工作，成立了以学院党政主要负责人为组长，分管学生工作的副院长为副组长，各专业系党总支书记和分管学生工作主任、学生处、教务处主要负责人为成员的毕业生就业创业工作领导小组，加强对毕业生就业工作的领导。领导小组定期召开毕业生就业创业工作会议，研究毕业生就业创业形势，查找学院毕业生就业创业工作中存在的问题，部署下一步毕业生就业创业工作。各专业系成立相应组织，负责具体实施。在就业创业工作中，学院积极落实人员、经费到位，保障就业创业各项工作的开展；每年均拨出专项经费用于举办就业市场的工作，多途径、多渠道吸纳用人单位前来毕业生就业市场选拔毕业生，为毕业生就业搭建平台。</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0" w:name="_Toc15243"/>
      <w:r>
        <w:rPr>
          <w:rFonts w:hint="eastAsia" w:ascii="微软雅黑" w:hAnsi="微软雅黑" w:eastAsia="微软雅黑" w:cs="微软雅黑"/>
          <w:b w:val="0"/>
          <w:bCs w:val="0"/>
          <w:sz w:val="28"/>
          <w:szCs w:val="28"/>
          <w:lang w:val="en-US" w:eastAsia="zh-CN"/>
        </w:rPr>
        <w:t>落实毕业生就业创业规定</w:t>
      </w:r>
      <w:bookmarkEnd w:id="110"/>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学院严格贯彻落实教育部《关于做好2013年全国普通高等学校毕业生就业工作的通知》精神，加强就业创业指导人员队伍建设，在人员紧张的情况下，配备2名人员专职从事毕业生就业指导工作。就业指导人员积极参加省教育厅组织的各种就业创业培训，及时制定全年毕业生就业创业工作计划，传达上级关于毕业生就业创业会议、文件精神，指导各专业系按照上级的要求开展毕业生就业创业。各专业系也都根据本毕业生情况，安排班主任辅导员对毕业生的就业创业指导进行指导，保证毕业生就业创业工作有人抓，把各项规定、政策落到实处。</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1" w:name="_Toc4178"/>
      <w:r>
        <w:rPr>
          <w:rFonts w:hint="eastAsia" w:ascii="微软雅黑" w:hAnsi="微软雅黑" w:eastAsia="微软雅黑" w:cs="微软雅黑"/>
          <w:b w:val="0"/>
          <w:bCs w:val="0"/>
          <w:sz w:val="28"/>
          <w:szCs w:val="28"/>
          <w:lang w:val="en-US" w:eastAsia="zh-CN"/>
        </w:rPr>
        <w:t>积极开展就业创业教育</w:t>
      </w:r>
      <w:bookmarkEnd w:id="111"/>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我们把《职业生涯规划》课和《就业创业指导》课作为必修课，纳入人才培养方案，规定课时量，落实人员开展教学。坚持从新生进校开始，对其进行职业生涯规划教育，我们以重人的个性、重人的发展为根本，教育学生把职业发展看作一个长期的、连续的过程，贯穿大学教育阶段甚至贯穿人的一生，帮助学生自觉地围绕就业有目的地进行学习与实践。大三开设就业创业指导课程，同时配合开展就业形势分析、就业政策分析、求职技巧等教育课程，将就业指导课和社会实际更紧密地结合起来，帮助学生正确地把握社会就业形势和国家有关大学生就业创业政策，树立正确的择业、就业、创业观念和就业取向，以保证顺利就业和创业。我们还开展了“用人单位调查问卷”、“大学生就业意向问卷调查”活动，了解用人单位的需求和学生的就业意向，有针对性地对学生进行就业指导。</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2" w:name="_Toc26537"/>
      <w:r>
        <w:rPr>
          <w:rFonts w:hint="eastAsia" w:ascii="微软雅黑" w:hAnsi="微软雅黑" w:eastAsia="微软雅黑" w:cs="微软雅黑"/>
          <w:b w:val="0"/>
          <w:bCs w:val="0"/>
          <w:sz w:val="28"/>
          <w:szCs w:val="28"/>
          <w:lang w:val="en-US" w:eastAsia="zh-CN"/>
        </w:rPr>
        <w:t>加大毕业生就业实习基地建设</w:t>
      </w:r>
      <w:bookmarkEnd w:id="112"/>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我院从实际出发，主动适应高职教育发展和教育教学改革的需要，与企业进行深度合作，建立毕业生实习基地。以实训基地为依托，充分发挥专业优势，积极组织学生实习基地各工作岗位开展就业顶岗实习活动。通过实习，一方面，使毕业生能够理论联系实际，积累工作经验，适应实际工作，提高从业能力；另一方面，使用人单位深入了解考察毕业生的综合素质，扩大选人视野，建立较为稳定的人才输送渠道，为促进毕业生充分就业和人才资源优化配置创造条件，促使用人单位与毕业生双方共赢。2016年，我们在已经建立的30多个毕业生就业实习基地的基础上，又分别与苏州市歌舞剧院、张家港市文化馆、浙江省东阳市横店影视城艺术团有限公司签署协议，建立毕业生就业实习基地。</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3" w:name="_Toc268"/>
      <w:r>
        <w:rPr>
          <w:rFonts w:hint="eastAsia" w:ascii="微软雅黑" w:hAnsi="微软雅黑" w:eastAsia="微软雅黑" w:cs="微软雅黑"/>
          <w:b w:val="0"/>
          <w:bCs w:val="0"/>
          <w:sz w:val="28"/>
          <w:szCs w:val="28"/>
          <w:lang w:val="en-US" w:eastAsia="zh-CN"/>
        </w:rPr>
        <w:t>继续开展“订单式”人才培养</w:t>
      </w:r>
      <w:bookmarkEnd w:id="113"/>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积极开展校企合作培养模式，寻求“订单式”教育的长效机制建设，使“订单式”教育成为学院艺术职业人才培养的重要方式。几年来，学院先后为蚌埠市泗洲戏剧院、黄山市文化局、安徽省徽京剧院、合肥市庐剧院、安徽省黄梅戏剧院、亳州市委宣传部、江西鹜源县文化局培养了泗洲戏专业、黄梅戏专业、庐剧专业、徽剧专业、京剧专业、戏曲音乐专业二夹弦专业等多个专业的学生。这一培养模式既解决了学生就业，又推动了地方文化事业的发展，也是对国家非物质文化遗产项目的最好支持。2016年，我院又与安徽省黄梅戏剧院进行合作，签订了招生协议并进行定向招生。还为厦门航空公司招收、培养60名定向生，凡经选拔符合厦门航空公司用人标准的考生，在完成规定的学业和业务考核后，将直接被厦门航空公司录用。“订单式”培养艺术人才，解除了毕业生就业的后顾之忧。</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4" w:name="_Toc13660"/>
      <w:r>
        <w:rPr>
          <w:rFonts w:hint="eastAsia" w:ascii="微软雅黑" w:hAnsi="微软雅黑" w:eastAsia="微软雅黑" w:cs="微软雅黑"/>
          <w:b w:val="0"/>
          <w:bCs w:val="0"/>
          <w:sz w:val="28"/>
          <w:szCs w:val="28"/>
          <w:lang w:val="en-US" w:eastAsia="zh-CN"/>
        </w:rPr>
        <w:t>加强学生的艺术实践工作</w:t>
      </w:r>
      <w:bookmarkEnd w:id="114"/>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学院努力推进教学、科研、实践一体化，实行课堂教学与舞台实践、社会实践相结合，以艺术实践为突破口，促进教学、编创的跟进和提高。一是积极参加艺术比赛，促进学生实践能力和创新能力的培养，相继参加了安徽省职业院校技能大赛、2016年全国职业院校技能大赛——中华优秀传统文化艺术表演、2016年全国职业院校技能大赛“艺术专业技能大赛(戏曲表演)”、 2016年全国大学生英语竞赛决赛（安徽赛区）、第五届中国校园戏剧节等等一系列国内重大艺术赛事，并不断摘金夺银挂铜。二是参加重要的演出活动，先后组织学生参加了学院2016年招生专场演出、纪念“五四”运动97周年演出、2016届毕业典礼演出、“校园大舞台——徽风皖韵进高校”合肥幼儿师范专科学校专场演出、纪念中国共产党建党95周年专场演出、2016级新生开学典礼文艺演出和2017届安徽省艺术类毕业生就业市场专场演出。三是在校内定期开展“励志杯”专业比赛。这些活动的开展，极大地丰富了学生的舞台实践，为毕业生成功就业奠定良好的基础。</w:t>
      </w:r>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学院坚定地以市场为导向，坚持培养市场需要的实用型、应用型人才为目标，在使学生真正地掌握过硬的专业技能的同时，大力开展职业资格培训，提高大学生就业能力。学院依托承担的文化行业职业技能鉴定站，积极开展对学生职业技能的培训和鉴定，使毕业生在取得学历证书的同时，又可获得国家认可的职业资格证书，大大增强他们的就业竞争力，提高了学生的就业率。</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5" w:name="_Toc15092"/>
      <w:r>
        <w:rPr>
          <w:rFonts w:hint="eastAsia" w:ascii="微软雅黑" w:hAnsi="微软雅黑" w:eastAsia="微软雅黑" w:cs="微软雅黑"/>
          <w:b w:val="0"/>
          <w:bCs w:val="0"/>
          <w:sz w:val="28"/>
          <w:szCs w:val="28"/>
          <w:lang w:val="en-US" w:eastAsia="zh-CN"/>
        </w:rPr>
        <w:t>强化就业文化建设</w:t>
      </w:r>
      <w:bookmarkEnd w:id="115"/>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积极开展各种就业活动，促进学院校园文化建设和学院学生社团的发展。学院除通过课堂教学、主题班会等形式对学生进行职业素质教育外，以就业为主线广泛开展科技、文化、社会实践活动：组织学生参加社会公益活动，成立动漫社、爱心社、街舞社等学生社团，开展“三走”等系列体育文娱活动，培育了积极向上、健康和谐的校园文化氛围。</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6" w:name="_Toc5828"/>
      <w:r>
        <w:rPr>
          <w:rFonts w:hint="eastAsia" w:ascii="微软雅黑" w:hAnsi="微软雅黑" w:eastAsia="微软雅黑" w:cs="微软雅黑"/>
          <w:b w:val="0"/>
          <w:bCs w:val="0"/>
          <w:sz w:val="28"/>
          <w:szCs w:val="28"/>
          <w:lang w:val="en-US" w:eastAsia="zh-CN"/>
        </w:rPr>
        <w:t>组织举办毕业生就业市场</w:t>
      </w:r>
      <w:bookmarkEnd w:id="116"/>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hint="eastAsia" w:ascii="微软雅黑" w:hAnsi="微软雅黑" w:eastAsia="微软雅黑" w:cstheme="minorBidi"/>
          <w:kern w:val="2"/>
          <w:sz w:val="21"/>
          <w:szCs w:val="22"/>
          <w:lang w:val="en-US" w:eastAsia="zh-CN" w:bidi="ar-SA"/>
        </w:rPr>
      </w:pPr>
      <w:r>
        <w:rPr>
          <w:rFonts w:hint="eastAsia" w:ascii="微软雅黑" w:hAnsi="微软雅黑" w:eastAsia="微软雅黑" w:cstheme="minorBidi"/>
          <w:kern w:val="2"/>
          <w:sz w:val="21"/>
          <w:szCs w:val="22"/>
          <w:lang w:val="en-US" w:eastAsia="zh-CN" w:bidi="ar-SA"/>
        </w:rPr>
        <w:t>学院大力培育毕业生就业市场，搭建多功能平台，拓展毕业生就业渠道。在安徽省大中专毕业生就业指导中心的指导下，从2002年开始，学院承担起举办全省艺术类毕业生就业市场工作任务，以后坚持每年定期召开全省艺术类毕业生就业市场，通过承担全省艺术类毕业生就业市场工作，不断总结经验，丰富展示内容，改进工作方式方法，建立和完善以学校为主，各级地方用人单位为辅，“市场引导、学院搭台、各系唱戏”的毕业生就业市场模式，充分调动用人单位的积极性和创造性，优化就业结构，实现了用人单位与毕业生的“无缝对接”。2015年12月中旬，学院举办了“2016届安徽省艺术类毕业生就业市场暨安徽艺术职业学院毕业生供需见面会”，来自全国各地的部队文工团、专业艺术院团、文化传媒公司、艺术培训机构、大中型企业等150余家用人单位参会，为毕业生提供岗位1000余个。此外，各专业系结合本系毕业生专业情况，有针对性的组织相关用人单位来校开展专场招聘，有力地促进了毕业生学生充分就业。</w:t>
      </w:r>
    </w:p>
    <w:p>
      <w:pPr>
        <w:pStyle w:val="3"/>
        <w:keepNext/>
        <w:keepLines/>
        <w:pageBreakBefore w:val="0"/>
        <w:widowControl w:val="0"/>
        <w:numPr>
          <w:ilvl w:val="0"/>
          <w:numId w:val="12"/>
        </w:numPr>
        <w:kinsoku/>
        <w:wordWrap/>
        <w:overflowPunct/>
        <w:topLinePunct w:val="0"/>
        <w:autoSpaceDE/>
        <w:autoSpaceDN/>
        <w:bidi w:val="0"/>
        <w:adjustRightInd/>
        <w:snapToGrid/>
        <w:spacing w:before="0" w:beforeLines="50" w:after="0" w:afterLines="50" w:line="360" w:lineRule="auto"/>
        <w:ind w:left="420" w:leftChars="0" w:right="0" w:rightChars="0" w:hanging="420" w:firstLineChars="0"/>
        <w:jc w:val="both"/>
        <w:textAlignment w:val="auto"/>
        <w:outlineLvl w:val="1"/>
        <w:rPr>
          <w:rFonts w:hint="eastAsia" w:ascii="微软雅黑" w:hAnsi="微软雅黑" w:eastAsia="微软雅黑" w:cs="微软雅黑"/>
          <w:b w:val="0"/>
          <w:bCs w:val="0"/>
          <w:sz w:val="28"/>
          <w:szCs w:val="28"/>
          <w:lang w:val="en-US" w:eastAsia="zh-CN"/>
        </w:rPr>
      </w:pPr>
      <w:bookmarkStart w:id="117" w:name="_Toc247"/>
      <w:r>
        <w:rPr>
          <w:rFonts w:hint="eastAsia" w:ascii="微软雅黑" w:hAnsi="微软雅黑" w:eastAsia="微软雅黑" w:cs="微软雅黑"/>
          <w:b w:val="0"/>
          <w:bCs w:val="0"/>
          <w:sz w:val="28"/>
          <w:szCs w:val="28"/>
          <w:lang w:val="en-US" w:eastAsia="zh-CN"/>
        </w:rPr>
        <w:t>加强就业创业理论研究</w:t>
      </w:r>
      <w:bookmarkEnd w:id="117"/>
    </w:p>
    <w:p>
      <w:pPr>
        <w:pageBreakBefore w:val="0"/>
        <w:widowControl w:val="0"/>
        <w:kinsoku/>
        <w:wordWrap/>
        <w:overflowPunct/>
        <w:topLinePunct w:val="0"/>
        <w:autoSpaceDE/>
        <w:autoSpaceDN/>
        <w:bidi w:val="0"/>
        <w:adjustRightInd/>
        <w:snapToGrid/>
        <w:spacing w:before="157" w:beforeLines="50" w:line="440" w:lineRule="exact"/>
        <w:ind w:left="0" w:leftChars="0" w:right="0" w:rightChars="0" w:firstLine="420" w:firstLineChars="200"/>
        <w:jc w:val="both"/>
        <w:textAlignment w:val="auto"/>
        <w:rPr>
          <w:rFonts w:ascii="微软雅黑" w:hAnsi="微软雅黑" w:eastAsia="微软雅黑"/>
        </w:rPr>
      </w:pPr>
      <w:r>
        <w:rPr>
          <w:rFonts w:hint="eastAsia" w:ascii="微软雅黑" w:hAnsi="微软雅黑" w:eastAsia="微软雅黑" w:cstheme="minorBidi"/>
          <w:kern w:val="2"/>
          <w:sz w:val="21"/>
          <w:szCs w:val="22"/>
          <w:lang w:val="en-US" w:eastAsia="zh-CN" w:bidi="ar-SA"/>
        </w:rPr>
        <w:t>2016年5月我们成功申请了《2016年全国高校就业创业指导课程特色教材课题》，课题目前已经完成，等待结项，同时我们从艺术类高职院校的特点出发，进行量身定制，编写一本针对艺术类高职院校毕业生创业特色的，针对性、时效性更强的教材《艺术类大学生创业指导课程》，从理论上系统的对学生创业进行指导，加强国家积极鼓励大学生自主创业政策的宣传力度和优秀校友自主创业案例进行启发引导，本教材现已交给光明日报出版社印制之中，从下学期开始正式投入使用，这对缓解我院毕业生就业形势具有重要的现实意义。</w:t>
      </w:r>
    </w:p>
    <w:p>
      <w:pPr>
        <w:spacing w:line="360" w:lineRule="auto"/>
        <w:rPr>
          <w:rFonts w:ascii="微软雅黑" w:hAnsi="微软雅黑" w:eastAsia="微软雅黑"/>
        </w:rPr>
      </w:pPr>
    </w:p>
    <w:sectPr>
      <w:headerReference r:id="rId3" w:type="default"/>
      <w:footerReference r:id="rId4" w:type="default"/>
      <w:pgSz w:w="11910" w:h="16160"/>
      <w:pgMar w:top="1420" w:right="1260" w:bottom="800" w:left="1560" w:header="1146" w:footer="6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ookman Old Style">
    <w:altName w:val="Segoe Print"/>
    <w:panose1 w:val="020506040505050202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tab w:relativeTo="margin" w:alignment="center"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安徽艺术职业学院2</w:t>
    </w:r>
    <w:r>
      <w:t>017</w:t>
    </w:r>
    <w:r>
      <w:rPr>
        <w:rFonts w:hint="eastAsia"/>
      </w:rPr>
      <w:t>年毕业生就业质量年度报告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FC5"/>
    <w:multiLevelType w:val="multilevel"/>
    <w:tmpl w:val="02E66FC5"/>
    <w:lvl w:ilvl="0" w:tentative="0">
      <w:start w:val="1"/>
      <w:numFmt w:val="decimal"/>
      <w:lvlText w:val="%1."/>
      <w:lvlJc w:val="left"/>
      <w:pPr>
        <w:ind w:left="1260" w:hanging="420"/>
      </w:pPr>
      <w:rPr>
        <w:b w:val="0"/>
        <w:sz w:val="24"/>
        <w:szCs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2538113C"/>
    <w:multiLevelType w:val="multilevel"/>
    <w:tmpl w:val="253811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344D2813"/>
    <w:multiLevelType w:val="multilevel"/>
    <w:tmpl w:val="344D28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8234D19"/>
    <w:multiLevelType w:val="multilevel"/>
    <w:tmpl w:val="38234D1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15444A3"/>
    <w:multiLevelType w:val="multilevel"/>
    <w:tmpl w:val="515444A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5A41719E"/>
    <w:multiLevelType w:val="multilevel"/>
    <w:tmpl w:val="5A41719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A4171BA"/>
    <w:multiLevelType w:val="multilevel"/>
    <w:tmpl w:val="5A4171B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A4171E4"/>
    <w:multiLevelType w:val="multilevel"/>
    <w:tmpl w:val="5A4171E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A417201"/>
    <w:multiLevelType w:val="multilevel"/>
    <w:tmpl w:val="5A41720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A417245"/>
    <w:multiLevelType w:val="multilevel"/>
    <w:tmpl w:val="5A417245"/>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7526ED3"/>
    <w:multiLevelType w:val="multilevel"/>
    <w:tmpl w:val="67526ED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36660E"/>
    <w:multiLevelType w:val="multilevel"/>
    <w:tmpl w:val="7936660E"/>
    <w:lvl w:ilvl="0" w:tentative="0">
      <w:start w:val="1"/>
      <w:numFmt w:val="decimal"/>
      <w:lvlText w:val="%1."/>
      <w:lvlJc w:val="left"/>
      <w:pPr>
        <w:ind w:left="1260" w:hanging="420"/>
      </w:pPr>
      <w:rPr>
        <w:b w:val="0"/>
        <w:sz w:val="24"/>
        <w:szCs w:val="24"/>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0"/>
  </w:num>
  <w:num w:numId="2">
    <w:abstractNumId w:val="2"/>
  </w:num>
  <w:num w:numId="3">
    <w:abstractNumId w:val="1"/>
  </w:num>
  <w:num w:numId="4">
    <w:abstractNumId w:val="5"/>
  </w:num>
  <w:num w:numId="5">
    <w:abstractNumId w:val="3"/>
  </w:num>
  <w:num w:numId="6">
    <w:abstractNumId w:val="4"/>
  </w:num>
  <w:num w:numId="7">
    <w:abstractNumId w:val="6"/>
  </w:num>
  <w:num w:numId="8">
    <w:abstractNumId w:val="7"/>
  </w:num>
  <w:num w:numId="9">
    <w:abstractNumId w:val="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2BEE"/>
    <w:rsid w:val="00012BEE"/>
    <w:rsid w:val="00013556"/>
    <w:rsid w:val="000152B5"/>
    <w:rsid w:val="000264DC"/>
    <w:rsid w:val="00031663"/>
    <w:rsid w:val="00032E89"/>
    <w:rsid w:val="00043DAB"/>
    <w:rsid w:val="00051F55"/>
    <w:rsid w:val="00053A86"/>
    <w:rsid w:val="00053EC2"/>
    <w:rsid w:val="0005777E"/>
    <w:rsid w:val="000606D0"/>
    <w:rsid w:val="0006361E"/>
    <w:rsid w:val="00067F49"/>
    <w:rsid w:val="00075346"/>
    <w:rsid w:val="00080624"/>
    <w:rsid w:val="00082A64"/>
    <w:rsid w:val="00082DF3"/>
    <w:rsid w:val="00087585"/>
    <w:rsid w:val="00097BCA"/>
    <w:rsid w:val="000A0851"/>
    <w:rsid w:val="000A6B72"/>
    <w:rsid w:val="000C1267"/>
    <w:rsid w:val="000C36A3"/>
    <w:rsid w:val="000C6957"/>
    <w:rsid w:val="000D1B50"/>
    <w:rsid w:val="000D1DB9"/>
    <w:rsid w:val="000D32F3"/>
    <w:rsid w:val="000D3D34"/>
    <w:rsid w:val="000E42B5"/>
    <w:rsid w:val="000E490A"/>
    <w:rsid w:val="000E4C0D"/>
    <w:rsid w:val="000E5B44"/>
    <w:rsid w:val="001003EA"/>
    <w:rsid w:val="00103E69"/>
    <w:rsid w:val="00110475"/>
    <w:rsid w:val="0011259D"/>
    <w:rsid w:val="001223C2"/>
    <w:rsid w:val="00131F53"/>
    <w:rsid w:val="00143283"/>
    <w:rsid w:val="00143292"/>
    <w:rsid w:val="00147BE5"/>
    <w:rsid w:val="001546C3"/>
    <w:rsid w:val="001563FA"/>
    <w:rsid w:val="001603E0"/>
    <w:rsid w:val="001605D2"/>
    <w:rsid w:val="0016504C"/>
    <w:rsid w:val="0016640D"/>
    <w:rsid w:val="00172538"/>
    <w:rsid w:val="00172875"/>
    <w:rsid w:val="00174B99"/>
    <w:rsid w:val="00181B11"/>
    <w:rsid w:val="0018258C"/>
    <w:rsid w:val="00184584"/>
    <w:rsid w:val="00187A7E"/>
    <w:rsid w:val="00190D78"/>
    <w:rsid w:val="001945E8"/>
    <w:rsid w:val="001A083B"/>
    <w:rsid w:val="001A19A2"/>
    <w:rsid w:val="001A1CF0"/>
    <w:rsid w:val="001A2AB7"/>
    <w:rsid w:val="001A4267"/>
    <w:rsid w:val="001A54C8"/>
    <w:rsid w:val="001B3E99"/>
    <w:rsid w:val="001B4093"/>
    <w:rsid w:val="001B75EE"/>
    <w:rsid w:val="001C1AE2"/>
    <w:rsid w:val="001C4983"/>
    <w:rsid w:val="001D0383"/>
    <w:rsid w:val="001D40A3"/>
    <w:rsid w:val="001D680F"/>
    <w:rsid w:val="001D799D"/>
    <w:rsid w:val="001E18B1"/>
    <w:rsid w:val="001E1966"/>
    <w:rsid w:val="001E28BD"/>
    <w:rsid w:val="001E3D87"/>
    <w:rsid w:val="001E70B2"/>
    <w:rsid w:val="001F3F27"/>
    <w:rsid w:val="00201D8F"/>
    <w:rsid w:val="00203514"/>
    <w:rsid w:val="0020679C"/>
    <w:rsid w:val="002111EA"/>
    <w:rsid w:val="00215ECD"/>
    <w:rsid w:val="002204B1"/>
    <w:rsid w:val="00220618"/>
    <w:rsid w:val="00221406"/>
    <w:rsid w:val="00222BDE"/>
    <w:rsid w:val="002245B0"/>
    <w:rsid w:val="0022601F"/>
    <w:rsid w:val="00226942"/>
    <w:rsid w:val="00230BF5"/>
    <w:rsid w:val="0023107A"/>
    <w:rsid w:val="00231F5C"/>
    <w:rsid w:val="00234AFE"/>
    <w:rsid w:val="002363A4"/>
    <w:rsid w:val="00241864"/>
    <w:rsid w:val="002419BE"/>
    <w:rsid w:val="00242DCF"/>
    <w:rsid w:val="00245F7F"/>
    <w:rsid w:val="00252D2F"/>
    <w:rsid w:val="00257435"/>
    <w:rsid w:val="00257540"/>
    <w:rsid w:val="00271496"/>
    <w:rsid w:val="002725F6"/>
    <w:rsid w:val="00275A59"/>
    <w:rsid w:val="00280C92"/>
    <w:rsid w:val="00281488"/>
    <w:rsid w:val="002815E1"/>
    <w:rsid w:val="00284461"/>
    <w:rsid w:val="002845E2"/>
    <w:rsid w:val="0029393B"/>
    <w:rsid w:val="002A101A"/>
    <w:rsid w:val="002A19A6"/>
    <w:rsid w:val="002A284B"/>
    <w:rsid w:val="002A61EA"/>
    <w:rsid w:val="002B1171"/>
    <w:rsid w:val="002B1822"/>
    <w:rsid w:val="002B1C64"/>
    <w:rsid w:val="002B5AC4"/>
    <w:rsid w:val="002C09A0"/>
    <w:rsid w:val="002C5037"/>
    <w:rsid w:val="002C6BCE"/>
    <w:rsid w:val="002D636D"/>
    <w:rsid w:val="002D7444"/>
    <w:rsid w:val="002E369F"/>
    <w:rsid w:val="002E5E56"/>
    <w:rsid w:val="002F2684"/>
    <w:rsid w:val="002F503E"/>
    <w:rsid w:val="00303219"/>
    <w:rsid w:val="00310DDE"/>
    <w:rsid w:val="00314103"/>
    <w:rsid w:val="00314BB7"/>
    <w:rsid w:val="00315CEB"/>
    <w:rsid w:val="00317A87"/>
    <w:rsid w:val="00317DA2"/>
    <w:rsid w:val="00324C81"/>
    <w:rsid w:val="00325A1A"/>
    <w:rsid w:val="003269B8"/>
    <w:rsid w:val="003333AA"/>
    <w:rsid w:val="003371BF"/>
    <w:rsid w:val="003521B5"/>
    <w:rsid w:val="00354849"/>
    <w:rsid w:val="003568F0"/>
    <w:rsid w:val="003615D5"/>
    <w:rsid w:val="0036570F"/>
    <w:rsid w:val="00365874"/>
    <w:rsid w:val="00366392"/>
    <w:rsid w:val="00370908"/>
    <w:rsid w:val="00374C06"/>
    <w:rsid w:val="003852F2"/>
    <w:rsid w:val="00385B12"/>
    <w:rsid w:val="00386989"/>
    <w:rsid w:val="00394C53"/>
    <w:rsid w:val="003965B4"/>
    <w:rsid w:val="0039665C"/>
    <w:rsid w:val="003A1A51"/>
    <w:rsid w:val="003B1B69"/>
    <w:rsid w:val="003B3109"/>
    <w:rsid w:val="003B66F8"/>
    <w:rsid w:val="003C45CF"/>
    <w:rsid w:val="003C4D22"/>
    <w:rsid w:val="003C52B9"/>
    <w:rsid w:val="003C590C"/>
    <w:rsid w:val="003C7BED"/>
    <w:rsid w:val="003E120C"/>
    <w:rsid w:val="003E3D37"/>
    <w:rsid w:val="004012DA"/>
    <w:rsid w:val="00404BD4"/>
    <w:rsid w:val="00406B10"/>
    <w:rsid w:val="00415F72"/>
    <w:rsid w:val="00415FEB"/>
    <w:rsid w:val="00417CD9"/>
    <w:rsid w:val="004208BA"/>
    <w:rsid w:val="004239DC"/>
    <w:rsid w:val="00435386"/>
    <w:rsid w:val="00442A21"/>
    <w:rsid w:val="00456BD4"/>
    <w:rsid w:val="00464914"/>
    <w:rsid w:val="00467936"/>
    <w:rsid w:val="0047107F"/>
    <w:rsid w:val="00471E2D"/>
    <w:rsid w:val="004738FD"/>
    <w:rsid w:val="00473D40"/>
    <w:rsid w:val="00473FCD"/>
    <w:rsid w:val="00477A9F"/>
    <w:rsid w:val="00481953"/>
    <w:rsid w:val="004A0048"/>
    <w:rsid w:val="004A0474"/>
    <w:rsid w:val="004A1752"/>
    <w:rsid w:val="004A1BCF"/>
    <w:rsid w:val="004A6668"/>
    <w:rsid w:val="004B3379"/>
    <w:rsid w:val="004B47E2"/>
    <w:rsid w:val="004B631A"/>
    <w:rsid w:val="004C273B"/>
    <w:rsid w:val="004C5FDF"/>
    <w:rsid w:val="004C61E4"/>
    <w:rsid w:val="004C6D11"/>
    <w:rsid w:val="004D0532"/>
    <w:rsid w:val="004D4E72"/>
    <w:rsid w:val="004D5523"/>
    <w:rsid w:val="004D7E7C"/>
    <w:rsid w:val="004E44FF"/>
    <w:rsid w:val="004F0C82"/>
    <w:rsid w:val="004F2759"/>
    <w:rsid w:val="004F77BE"/>
    <w:rsid w:val="005036AA"/>
    <w:rsid w:val="00503BB0"/>
    <w:rsid w:val="00510D39"/>
    <w:rsid w:val="0051547B"/>
    <w:rsid w:val="005156F3"/>
    <w:rsid w:val="0051658B"/>
    <w:rsid w:val="00520145"/>
    <w:rsid w:val="005226FA"/>
    <w:rsid w:val="00524680"/>
    <w:rsid w:val="00527250"/>
    <w:rsid w:val="00530466"/>
    <w:rsid w:val="00530ED7"/>
    <w:rsid w:val="005318FF"/>
    <w:rsid w:val="00536D45"/>
    <w:rsid w:val="005413E6"/>
    <w:rsid w:val="00544012"/>
    <w:rsid w:val="00544D64"/>
    <w:rsid w:val="00545CF7"/>
    <w:rsid w:val="00546771"/>
    <w:rsid w:val="0055095D"/>
    <w:rsid w:val="005678FA"/>
    <w:rsid w:val="00571D1F"/>
    <w:rsid w:val="00571E5E"/>
    <w:rsid w:val="00574F20"/>
    <w:rsid w:val="00594851"/>
    <w:rsid w:val="005A2125"/>
    <w:rsid w:val="005A22A3"/>
    <w:rsid w:val="005A2747"/>
    <w:rsid w:val="005B14D3"/>
    <w:rsid w:val="005B319F"/>
    <w:rsid w:val="005B4888"/>
    <w:rsid w:val="005C0914"/>
    <w:rsid w:val="005C14EA"/>
    <w:rsid w:val="005C2525"/>
    <w:rsid w:val="005C39C3"/>
    <w:rsid w:val="005C5004"/>
    <w:rsid w:val="005D1A3F"/>
    <w:rsid w:val="005D6E12"/>
    <w:rsid w:val="005D7F07"/>
    <w:rsid w:val="005E2075"/>
    <w:rsid w:val="005E51BB"/>
    <w:rsid w:val="005F1352"/>
    <w:rsid w:val="006008E8"/>
    <w:rsid w:val="00602169"/>
    <w:rsid w:val="00616119"/>
    <w:rsid w:val="00616505"/>
    <w:rsid w:val="00617434"/>
    <w:rsid w:val="00617899"/>
    <w:rsid w:val="006264F6"/>
    <w:rsid w:val="00626C79"/>
    <w:rsid w:val="0062726D"/>
    <w:rsid w:val="0062732E"/>
    <w:rsid w:val="006347DF"/>
    <w:rsid w:val="00645C11"/>
    <w:rsid w:val="00651A6B"/>
    <w:rsid w:val="006533A1"/>
    <w:rsid w:val="00653829"/>
    <w:rsid w:val="00654F8B"/>
    <w:rsid w:val="00655869"/>
    <w:rsid w:val="006649B0"/>
    <w:rsid w:val="006737D6"/>
    <w:rsid w:val="00692396"/>
    <w:rsid w:val="0069369C"/>
    <w:rsid w:val="00694054"/>
    <w:rsid w:val="00695A9C"/>
    <w:rsid w:val="00695AC8"/>
    <w:rsid w:val="00697C1A"/>
    <w:rsid w:val="006A0712"/>
    <w:rsid w:val="006A225C"/>
    <w:rsid w:val="006B0B2B"/>
    <w:rsid w:val="006B160D"/>
    <w:rsid w:val="006B5D55"/>
    <w:rsid w:val="006B6541"/>
    <w:rsid w:val="006C5D16"/>
    <w:rsid w:val="006D06F0"/>
    <w:rsid w:val="006D13A5"/>
    <w:rsid w:val="006D14A1"/>
    <w:rsid w:val="006D559D"/>
    <w:rsid w:val="006D6B2E"/>
    <w:rsid w:val="006D7DD5"/>
    <w:rsid w:val="006E1045"/>
    <w:rsid w:val="006E3BAE"/>
    <w:rsid w:val="006E6A4F"/>
    <w:rsid w:val="006E6B11"/>
    <w:rsid w:val="006F514D"/>
    <w:rsid w:val="00701EB0"/>
    <w:rsid w:val="00702102"/>
    <w:rsid w:val="00703284"/>
    <w:rsid w:val="00710AA9"/>
    <w:rsid w:val="00713C7E"/>
    <w:rsid w:val="00713D10"/>
    <w:rsid w:val="007159D0"/>
    <w:rsid w:val="007172B8"/>
    <w:rsid w:val="00722704"/>
    <w:rsid w:val="00725E3F"/>
    <w:rsid w:val="0072715D"/>
    <w:rsid w:val="00727763"/>
    <w:rsid w:val="007305B7"/>
    <w:rsid w:val="007325E8"/>
    <w:rsid w:val="00733358"/>
    <w:rsid w:val="007426C2"/>
    <w:rsid w:val="00760749"/>
    <w:rsid w:val="00772B77"/>
    <w:rsid w:val="00772E24"/>
    <w:rsid w:val="007824C7"/>
    <w:rsid w:val="00782722"/>
    <w:rsid w:val="0078704D"/>
    <w:rsid w:val="00791D3A"/>
    <w:rsid w:val="007A18AF"/>
    <w:rsid w:val="007A324A"/>
    <w:rsid w:val="007A42FB"/>
    <w:rsid w:val="007A4EDE"/>
    <w:rsid w:val="007A6393"/>
    <w:rsid w:val="007B7206"/>
    <w:rsid w:val="007B72C5"/>
    <w:rsid w:val="007C33AB"/>
    <w:rsid w:val="007C61F7"/>
    <w:rsid w:val="007D2CB8"/>
    <w:rsid w:val="007D3786"/>
    <w:rsid w:val="007E0230"/>
    <w:rsid w:val="007E2A75"/>
    <w:rsid w:val="007E582C"/>
    <w:rsid w:val="007E6F09"/>
    <w:rsid w:val="007F48DC"/>
    <w:rsid w:val="007F5EBE"/>
    <w:rsid w:val="007F6E1B"/>
    <w:rsid w:val="007F75B8"/>
    <w:rsid w:val="00803500"/>
    <w:rsid w:val="00805332"/>
    <w:rsid w:val="0081116C"/>
    <w:rsid w:val="00811F04"/>
    <w:rsid w:val="00816277"/>
    <w:rsid w:val="0082466D"/>
    <w:rsid w:val="008255E9"/>
    <w:rsid w:val="008260AD"/>
    <w:rsid w:val="00831308"/>
    <w:rsid w:val="00833A15"/>
    <w:rsid w:val="00834AFE"/>
    <w:rsid w:val="00835BC6"/>
    <w:rsid w:val="00836CE5"/>
    <w:rsid w:val="008444C7"/>
    <w:rsid w:val="00853C11"/>
    <w:rsid w:val="00854372"/>
    <w:rsid w:val="0085754A"/>
    <w:rsid w:val="008646CB"/>
    <w:rsid w:val="008700BD"/>
    <w:rsid w:val="008740E0"/>
    <w:rsid w:val="00875BB6"/>
    <w:rsid w:val="008777D7"/>
    <w:rsid w:val="00893ED4"/>
    <w:rsid w:val="008A1469"/>
    <w:rsid w:val="008A365C"/>
    <w:rsid w:val="008B3B34"/>
    <w:rsid w:val="008C3014"/>
    <w:rsid w:val="008C392D"/>
    <w:rsid w:val="008C4A09"/>
    <w:rsid w:val="008D0E6D"/>
    <w:rsid w:val="008D343C"/>
    <w:rsid w:val="008D5B53"/>
    <w:rsid w:val="008D5E6B"/>
    <w:rsid w:val="008D5F1B"/>
    <w:rsid w:val="008D7D9F"/>
    <w:rsid w:val="008E0C5E"/>
    <w:rsid w:val="008E334B"/>
    <w:rsid w:val="008E38EC"/>
    <w:rsid w:val="008E4FF3"/>
    <w:rsid w:val="008F0C97"/>
    <w:rsid w:val="0090214E"/>
    <w:rsid w:val="00905213"/>
    <w:rsid w:val="009058DB"/>
    <w:rsid w:val="00906F77"/>
    <w:rsid w:val="0091408C"/>
    <w:rsid w:val="00914B6D"/>
    <w:rsid w:val="00916965"/>
    <w:rsid w:val="00917981"/>
    <w:rsid w:val="0092489E"/>
    <w:rsid w:val="009248D0"/>
    <w:rsid w:val="0092707B"/>
    <w:rsid w:val="00937DF4"/>
    <w:rsid w:val="00937E12"/>
    <w:rsid w:val="0094595B"/>
    <w:rsid w:val="00945EC4"/>
    <w:rsid w:val="009474A8"/>
    <w:rsid w:val="0095238C"/>
    <w:rsid w:val="00952F50"/>
    <w:rsid w:val="00964570"/>
    <w:rsid w:val="0097368F"/>
    <w:rsid w:val="00982589"/>
    <w:rsid w:val="0099315C"/>
    <w:rsid w:val="009971BA"/>
    <w:rsid w:val="009A5216"/>
    <w:rsid w:val="009A7B0D"/>
    <w:rsid w:val="009B0EA6"/>
    <w:rsid w:val="009C1404"/>
    <w:rsid w:val="009C32E0"/>
    <w:rsid w:val="009C6FFB"/>
    <w:rsid w:val="009C7B46"/>
    <w:rsid w:val="009D36E9"/>
    <w:rsid w:val="009D65C6"/>
    <w:rsid w:val="009D6DE9"/>
    <w:rsid w:val="009E0A84"/>
    <w:rsid w:val="009E217B"/>
    <w:rsid w:val="009F07DF"/>
    <w:rsid w:val="009F5821"/>
    <w:rsid w:val="009F739B"/>
    <w:rsid w:val="00A033B1"/>
    <w:rsid w:val="00A0467C"/>
    <w:rsid w:val="00A05461"/>
    <w:rsid w:val="00A06304"/>
    <w:rsid w:val="00A06AF9"/>
    <w:rsid w:val="00A06B51"/>
    <w:rsid w:val="00A1222A"/>
    <w:rsid w:val="00A12294"/>
    <w:rsid w:val="00A1285A"/>
    <w:rsid w:val="00A12DDC"/>
    <w:rsid w:val="00A14977"/>
    <w:rsid w:val="00A1698A"/>
    <w:rsid w:val="00A22D08"/>
    <w:rsid w:val="00A266CB"/>
    <w:rsid w:val="00A31CB1"/>
    <w:rsid w:val="00A40F8A"/>
    <w:rsid w:val="00A42C1A"/>
    <w:rsid w:val="00A456ED"/>
    <w:rsid w:val="00A46A00"/>
    <w:rsid w:val="00A553CE"/>
    <w:rsid w:val="00A579CF"/>
    <w:rsid w:val="00A60A33"/>
    <w:rsid w:val="00A67193"/>
    <w:rsid w:val="00A673A7"/>
    <w:rsid w:val="00A676B6"/>
    <w:rsid w:val="00A70004"/>
    <w:rsid w:val="00A72B9B"/>
    <w:rsid w:val="00A749C8"/>
    <w:rsid w:val="00A776F5"/>
    <w:rsid w:val="00A92943"/>
    <w:rsid w:val="00A930BC"/>
    <w:rsid w:val="00A95955"/>
    <w:rsid w:val="00A96929"/>
    <w:rsid w:val="00AA0784"/>
    <w:rsid w:val="00AA4FBD"/>
    <w:rsid w:val="00AA6809"/>
    <w:rsid w:val="00AB0755"/>
    <w:rsid w:val="00AB3DAD"/>
    <w:rsid w:val="00AC2F16"/>
    <w:rsid w:val="00AC490C"/>
    <w:rsid w:val="00AC7CBE"/>
    <w:rsid w:val="00AD0688"/>
    <w:rsid w:val="00AD0F2D"/>
    <w:rsid w:val="00AD798C"/>
    <w:rsid w:val="00AE2A81"/>
    <w:rsid w:val="00AF35A0"/>
    <w:rsid w:val="00AF5363"/>
    <w:rsid w:val="00B01546"/>
    <w:rsid w:val="00B039E8"/>
    <w:rsid w:val="00B05974"/>
    <w:rsid w:val="00B12419"/>
    <w:rsid w:val="00B2333B"/>
    <w:rsid w:val="00B23CE5"/>
    <w:rsid w:val="00B24011"/>
    <w:rsid w:val="00B3000E"/>
    <w:rsid w:val="00B31CB9"/>
    <w:rsid w:val="00B32E27"/>
    <w:rsid w:val="00B3374C"/>
    <w:rsid w:val="00B37FB0"/>
    <w:rsid w:val="00B43721"/>
    <w:rsid w:val="00B44555"/>
    <w:rsid w:val="00B458A2"/>
    <w:rsid w:val="00B51DC4"/>
    <w:rsid w:val="00B535A0"/>
    <w:rsid w:val="00B55AA4"/>
    <w:rsid w:val="00B55F43"/>
    <w:rsid w:val="00B60115"/>
    <w:rsid w:val="00B620ED"/>
    <w:rsid w:val="00B64124"/>
    <w:rsid w:val="00B67415"/>
    <w:rsid w:val="00B71F17"/>
    <w:rsid w:val="00B734DF"/>
    <w:rsid w:val="00B77FA6"/>
    <w:rsid w:val="00B813D5"/>
    <w:rsid w:val="00B81EFE"/>
    <w:rsid w:val="00B86A33"/>
    <w:rsid w:val="00B86E86"/>
    <w:rsid w:val="00B911FF"/>
    <w:rsid w:val="00B93269"/>
    <w:rsid w:val="00B9482F"/>
    <w:rsid w:val="00BA073E"/>
    <w:rsid w:val="00BA60D1"/>
    <w:rsid w:val="00BA6146"/>
    <w:rsid w:val="00BB0557"/>
    <w:rsid w:val="00BB0844"/>
    <w:rsid w:val="00BB436D"/>
    <w:rsid w:val="00BB4F17"/>
    <w:rsid w:val="00BC0CB9"/>
    <w:rsid w:val="00BC3AF8"/>
    <w:rsid w:val="00BC6735"/>
    <w:rsid w:val="00BD2BA5"/>
    <w:rsid w:val="00BD45FA"/>
    <w:rsid w:val="00BD6DEB"/>
    <w:rsid w:val="00BE3110"/>
    <w:rsid w:val="00BE5927"/>
    <w:rsid w:val="00BE6DC3"/>
    <w:rsid w:val="00BF1A70"/>
    <w:rsid w:val="00BF7414"/>
    <w:rsid w:val="00C0192B"/>
    <w:rsid w:val="00C0666F"/>
    <w:rsid w:val="00C13CC6"/>
    <w:rsid w:val="00C13EBA"/>
    <w:rsid w:val="00C22B55"/>
    <w:rsid w:val="00C33C6E"/>
    <w:rsid w:val="00C41A2C"/>
    <w:rsid w:val="00C4328B"/>
    <w:rsid w:val="00C434C1"/>
    <w:rsid w:val="00C446A8"/>
    <w:rsid w:val="00C446EA"/>
    <w:rsid w:val="00C447A0"/>
    <w:rsid w:val="00C507F1"/>
    <w:rsid w:val="00C50E56"/>
    <w:rsid w:val="00C52892"/>
    <w:rsid w:val="00C56686"/>
    <w:rsid w:val="00C64B80"/>
    <w:rsid w:val="00C669BE"/>
    <w:rsid w:val="00C66BE3"/>
    <w:rsid w:val="00C66CFB"/>
    <w:rsid w:val="00C677D3"/>
    <w:rsid w:val="00C73D95"/>
    <w:rsid w:val="00C77780"/>
    <w:rsid w:val="00C833D4"/>
    <w:rsid w:val="00C85D16"/>
    <w:rsid w:val="00C9191C"/>
    <w:rsid w:val="00C92FCC"/>
    <w:rsid w:val="00C9425A"/>
    <w:rsid w:val="00C94ADB"/>
    <w:rsid w:val="00C95DEF"/>
    <w:rsid w:val="00CA1BC6"/>
    <w:rsid w:val="00CB0DB7"/>
    <w:rsid w:val="00CB1B71"/>
    <w:rsid w:val="00CB266E"/>
    <w:rsid w:val="00CB313E"/>
    <w:rsid w:val="00CB6704"/>
    <w:rsid w:val="00CB767E"/>
    <w:rsid w:val="00CC307D"/>
    <w:rsid w:val="00CC52B0"/>
    <w:rsid w:val="00CC58A8"/>
    <w:rsid w:val="00CC65F1"/>
    <w:rsid w:val="00CC767D"/>
    <w:rsid w:val="00CD16A8"/>
    <w:rsid w:val="00CD24B0"/>
    <w:rsid w:val="00CD2B1E"/>
    <w:rsid w:val="00CD4208"/>
    <w:rsid w:val="00CD5AAC"/>
    <w:rsid w:val="00CF26CC"/>
    <w:rsid w:val="00CF41D4"/>
    <w:rsid w:val="00CF5F5D"/>
    <w:rsid w:val="00D00925"/>
    <w:rsid w:val="00D01033"/>
    <w:rsid w:val="00D02670"/>
    <w:rsid w:val="00D034F1"/>
    <w:rsid w:val="00D05A20"/>
    <w:rsid w:val="00D06A6D"/>
    <w:rsid w:val="00D17E89"/>
    <w:rsid w:val="00D256C9"/>
    <w:rsid w:val="00D26CCF"/>
    <w:rsid w:val="00D27A04"/>
    <w:rsid w:val="00D377F2"/>
    <w:rsid w:val="00D41981"/>
    <w:rsid w:val="00D43407"/>
    <w:rsid w:val="00D6611B"/>
    <w:rsid w:val="00D711DD"/>
    <w:rsid w:val="00D73699"/>
    <w:rsid w:val="00D758BA"/>
    <w:rsid w:val="00D773E5"/>
    <w:rsid w:val="00D8126A"/>
    <w:rsid w:val="00D84316"/>
    <w:rsid w:val="00D9051C"/>
    <w:rsid w:val="00D90C77"/>
    <w:rsid w:val="00D92C6B"/>
    <w:rsid w:val="00D93365"/>
    <w:rsid w:val="00D93811"/>
    <w:rsid w:val="00DA3039"/>
    <w:rsid w:val="00DA642B"/>
    <w:rsid w:val="00DB1E5E"/>
    <w:rsid w:val="00DB6EB0"/>
    <w:rsid w:val="00DC2B20"/>
    <w:rsid w:val="00DC4D16"/>
    <w:rsid w:val="00DD03EA"/>
    <w:rsid w:val="00DD5ACB"/>
    <w:rsid w:val="00DE22A8"/>
    <w:rsid w:val="00DE231D"/>
    <w:rsid w:val="00DE25F5"/>
    <w:rsid w:val="00DE4C39"/>
    <w:rsid w:val="00DE4C7D"/>
    <w:rsid w:val="00DE6C74"/>
    <w:rsid w:val="00DF3845"/>
    <w:rsid w:val="00E01DBF"/>
    <w:rsid w:val="00E02E08"/>
    <w:rsid w:val="00E11876"/>
    <w:rsid w:val="00E11D1A"/>
    <w:rsid w:val="00E132C1"/>
    <w:rsid w:val="00E15830"/>
    <w:rsid w:val="00E21B8A"/>
    <w:rsid w:val="00E231E8"/>
    <w:rsid w:val="00E26261"/>
    <w:rsid w:val="00E34C5E"/>
    <w:rsid w:val="00E44378"/>
    <w:rsid w:val="00E44388"/>
    <w:rsid w:val="00E5226C"/>
    <w:rsid w:val="00E53F5D"/>
    <w:rsid w:val="00E56265"/>
    <w:rsid w:val="00E60EC4"/>
    <w:rsid w:val="00E61091"/>
    <w:rsid w:val="00E709C6"/>
    <w:rsid w:val="00E832AF"/>
    <w:rsid w:val="00E8419B"/>
    <w:rsid w:val="00E8722C"/>
    <w:rsid w:val="00E90C15"/>
    <w:rsid w:val="00E91217"/>
    <w:rsid w:val="00E92573"/>
    <w:rsid w:val="00E93587"/>
    <w:rsid w:val="00E94376"/>
    <w:rsid w:val="00E95046"/>
    <w:rsid w:val="00E95E2C"/>
    <w:rsid w:val="00EA519B"/>
    <w:rsid w:val="00EA5D18"/>
    <w:rsid w:val="00EA62FA"/>
    <w:rsid w:val="00EB43D7"/>
    <w:rsid w:val="00EB70E5"/>
    <w:rsid w:val="00ED0479"/>
    <w:rsid w:val="00ED5096"/>
    <w:rsid w:val="00ED616F"/>
    <w:rsid w:val="00ED7A94"/>
    <w:rsid w:val="00EE1CD2"/>
    <w:rsid w:val="00EE5050"/>
    <w:rsid w:val="00EE5F5E"/>
    <w:rsid w:val="00EE7202"/>
    <w:rsid w:val="00EF40F2"/>
    <w:rsid w:val="00F040D1"/>
    <w:rsid w:val="00F13B27"/>
    <w:rsid w:val="00F164EC"/>
    <w:rsid w:val="00F165AC"/>
    <w:rsid w:val="00F17179"/>
    <w:rsid w:val="00F20AED"/>
    <w:rsid w:val="00F21D1E"/>
    <w:rsid w:val="00F230D3"/>
    <w:rsid w:val="00F2365F"/>
    <w:rsid w:val="00F32396"/>
    <w:rsid w:val="00F3617D"/>
    <w:rsid w:val="00F4038B"/>
    <w:rsid w:val="00F435BC"/>
    <w:rsid w:val="00F516F0"/>
    <w:rsid w:val="00F51702"/>
    <w:rsid w:val="00F57572"/>
    <w:rsid w:val="00F61919"/>
    <w:rsid w:val="00F64E48"/>
    <w:rsid w:val="00F670E1"/>
    <w:rsid w:val="00F71C36"/>
    <w:rsid w:val="00F72333"/>
    <w:rsid w:val="00F750C4"/>
    <w:rsid w:val="00F871A0"/>
    <w:rsid w:val="00F91540"/>
    <w:rsid w:val="00F95C98"/>
    <w:rsid w:val="00FA34C7"/>
    <w:rsid w:val="00FB5146"/>
    <w:rsid w:val="00FB68B5"/>
    <w:rsid w:val="00FC0A78"/>
    <w:rsid w:val="00FC7B7A"/>
    <w:rsid w:val="00FD0742"/>
    <w:rsid w:val="00FD0D8B"/>
    <w:rsid w:val="00FD19CF"/>
    <w:rsid w:val="00FD2AB0"/>
    <w:rsid w:val="00FD2FC0"/>
    <w:rsid w:val="00FD69E3"/>
    <w:rsid w:val="00FE0B2C"/>
    <w:rsid w:val="00FE0C4A"/>
    <w:rsid w:val="00FE44E4"/>
    <w:rsid w:val="00FE4FBB"/>
    <w:rsid w:val="00FE5B03"/>
    <w:rsid w:val="00FE77FB"/>
    <w:rsid w:val="00FF013E"/>
    <w:rsid w:val="09FA290E"/>
    <w:rsid w:val="0CAA7A55"/>
    <w:rsid w:val="0F312189"/>
    <w:rsid w:val="16D333C3"/>
    <w:rsid w:val="176B1DFD"/>
    <w:rsid w:val="17BB357D"/>
    <w:rsid w:val="26F64798"/>
    <w:rsid w:val="27BA4661"/>
    <w:rsid w:val="291A6527"/>
    <w:rsid w:val="32B85B29"/>
    <w:rsid w:val="3A51299B"/>
    <w:rsid w:val="3C4B20AD"/>
    <w:rsid w:val="3CE614D3"/>
    <w:rsid w:val="3F306A55"/>
    <w:rsid w:val="41CC2096"/>
    <w:rsid w:val="45E93F2B"/>
    <w:rsid w:val="5F7E0A26"/>
    <w:rsid w:val="65900644"/>
    <w:rsid w:val="72A86AE7"/>
    <w:rsid w:val="73D709E9"/>
    <w:rsid w:val="75EA3D29"/>
    <w:rsid w:val="78132E9B"/>
    <w:rsid w:val="7B55716A"/>
    <w:rsid w:val="7D486B43"/>
    <w:rsid w:val="7DB1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7">
    <w:name w:val="Body Text"/>
    <w:basedOn w:val="1"/>
    <w:link w:val="26"/>
    <w:unhideWhenUsed/>
    <w:qFormat/>
    <w:uiPriority w:val="1"/>
    <w:pPr>
      <w:spacing w:after="120"/>
    </w:pPr>
  </w:style>
  <w:style w:type="paragraph" w:styleId="8">
    <w:name w:val="Balloon Text"/>
    <w:basedOn w:val="1"/>
    <w:link w:val="23"/>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footnote text"/>
    <w:basedOn w:val="1"/>
    <w:link w:val="25"/>
    <w:unhideWhenUsed/>
    <w:qFormat/>
    <w:uiPriority w:val="99"/>
    <w:pPr>
      <w:snapToGrid w:val="0"/>
      <w:jc w:val="left"/>
    </w:pPr>
    <w:rPr>
      <w:sz w:val="18"/>
      <w:szCs w:val="18"/>
    </w:rPr>
  </w:style>
  <w:style w:type="paragraph" w:styleId="13">
    <w:name w:val="toc 2"/>
    <w:basedOn w:val="1"/>
    <w:next w:val="1"/>
    <w:unhideWhenUsed/>
    <w:uiPriority w:val="39"/>
    <w:pPr>
      <w:ind w:left="420" w:leftChars="200"/>
    </w:pPr>
  </w:style>
  <w:style w:type="character" w:styleId="15">
    <w:name w:val="footnote reference"/>
    <w:basedOn w:val="14"/>
    <w:unhideWhenUsed/>
    <w:qFormat/>
    <w:uiPriority w:val="99"/>
    <w:rPr>
      <w:vertAlign w:val="superscript"/>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19">
    <w:name w:val="标题 3 字符"/>
    <w:basedOn w:val="14"/>
    <w:link w:val="4"/>
    <w:semiHidden/>
    <w:qFormat/>
    <w:uiPriority w:val="9"/>
    <w:rPr>
      <w:b/>
      <w:bCs/>
      <w:sz w:val="32"/>
      <w:szCs w:val="32"/>
    </w:rPr>
  </w:style>
  <w:style w:type="character" w:customStyle="1" w:styleId="20">
    <w:name w:val="标题 5 字符"/>
    <w:basedOn w:val="14"/>
    <w:link w:val="6"/>
    <w:semiHidden/>
    <w:qFormat/>
    <w:uiPriority w:val="9"/>
    <w:rPr>
      <w:b/>
      <w:bCs/>
      <w:sz w:val="28"/>
      <w:szCs w:val="28"/>
    </w:rPr>
  </w:style>
  <w:style w:type="character" w:customStyle="1" w:styleId="21">
    <w:name w:val="页眉 字符"/>
    <w:basedOn w:val="14"/>
    <w:link w:val="10"/>
    <w:qFormat/>
    <w:uiPriority w:val="99"/>
    <w:rPr>
      <w:sz w:val="18"/>
      <w:szCs w:val="18"/>
    </w:rPr>
  </w:style>
  <w:style w:type="character" w:customStyle="1" w:styleId="22">
    <w:name w:val="页脚 字符"/>
    <w:basedOn w:val="14"/>
    <w:link w:val="9"/>
    <w:qFormat/>
    <w:uiPriority w:val="99"/>
    <w:rPr>
      <w:sz w:val="18"/>
      <w:szCs w:val="18"/>
    </w:rPr>
  </w:style>
  <w:style w:type="character" w:customStyle="1" w:styleId="23">
    <w:name w:val="批注框文本 字符"/>
    <w:basedOn w:val="14"/>
    <w:link w:val="8"/>
    <w:semiHidden/>
    <w:qFormat/>
    <w:uiPriority w:val="99"/>
    <w:rPr>
      <w:sz w:val="18"/>
      <w:szCs w:val="18"/>
    </w:rPr>
  </w:style>
  <w:style w:type="paragraph" w:customStyle="1" w:styleId="24">
    <w:name w:val="List Paragraph"/>
    <w:basedOn w:val="1"/>
    <w:qFormat/>
    <w:uiPriority w:val="34"/>
    <w:pPr>
      <w:ind w:firstLine="420" w:firstLineChars="200"/>
    </w:pPr>
  </w:style>
  <w:style w:type="character" w:customStyle="1" w:styleId="25">
    <w:name w:val="脚注文本 字符"/>
    <w:basedOn w:val="14"/>
    <w:link w:val="12"/>
    <w:semiHidden/>
    <w:qFormat/>
    <w:uiPriority w:val="99"/>
    <w:rPr>
      <w:sz w:val="18"/>
      <w:szCs w:val="18"/>
    </w:rPr>
  </w:style>
  <w:style w:type="character" w:customStyle="1" w:styleId="26">
    <w:name w:val="正文文本 字符"/>
    <w:basedOn w:val="14"/>
    <w:link w:val="7"/>
    <w:qFormat/>
    <w:uiPriority w:val="99"/>
  </w:style>
  <w:style w:type="paragraph" w:customStyle="1" w:styleId="2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9">
    <w:name w:val="标题 4 字符"/>
    <w:basedOn w:val="14"/>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19.xml"/><Relationship Id="rId23" Type="http://schemas.openxmlformats.org/officeDocument/2006/relationships/chart" Target="charts/chart18.xml"/><Relationship Id="rId22" Type="http://schemas.openxmlformats.org/officeDocument/2006/relationships/chart" Target="charts/chart17.xml"/><Relationship Id="rId21" Type="http://schemas.openxmlformats.org/officeDocument/2006/relationships/chart" Target="charts/chart16.xml"/><Relationship Id="rId20" Type="http://schemas.openxmlformats.org/officeDocument/2006/relationships/chart" Target="charts/chart15.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dministrator\Desktop\&#36136;&#37327;&#25253;&#21578;\&#33402;&#26657;&#30446;&#24405;.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Administrator\Desktop\&#33402;&#26657;2017\&#33402;&#26657;&#30446;&#24405;113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3402;&#26657;2017\&#33402;&#26657;&#30446;&#24405;113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3402;&#26657;2017\&#33402;&#26657;&#30446;&#24405;113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esktop\&#33402;&#26657;2017\&#33402;&#26657;&#30446;&#24405;113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3402;&#26657;2017\&#33402;&#26657;&#30446;&#24405;1130.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3402;&#26657;2017\&#33402;&#26657;&#30446;&#24405;113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33402;&#26657;2017\&#33402;&#26657;&#30446;&#24405;113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3402;&#26657;2017\&#33402;&#26657;&#30446;&#24405;1130.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33402;&#26657;2017\&#33402;&#26657;&#30446;&#24405;1130.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33402;&#26657;2017\&#33402;&#26657;&#30446;&#24405;113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dministrator\Desktop\&#33402;&#26657;2017\&#33402;&#26657;&#30446;&#24405;113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Administrator\Desktop\&#33402;&#26657;2017\&#33402;&#26657;&#30446;&#24405;122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dministrator\Desktop\&#33402;&#26657;2017\&#33402;&#26657;&#30446;&#24405;113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dministrator\Desktop\&#33402;&#26657;2017\&#33402;&#26657;&#30446;&#24405;122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dministrator\Desktop\&#33402;&#26657;2017\&#33402;&#26657;&#30446;&#24405;113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dministrator\Desktop\&#33402;&#26657;2017\&#33402;&#26657;&#30446;&#24405;113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Administrator\Desktop\&#33402;&#26657;2017\&#33402;&#26657;&#30446;&#24405;113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Administrator\Desktop\&#33402;&#26657;2017\&#33402;&#26657;&#30446;&#24405;11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5"/>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Sheet1!$D$28:$D$29</c:f>
              <c:strCache>
                <c:ptCount val="2"/>
                <c:pt idx="0">
                  <c:v>男</c:v>
                </c:pt>
                <c:pt idx="1">
                  <c:v>女</c:v>
                </c:pt>
              </c:strCache>
            </c:strRef>
          </c:cat>
          <c:val>
            <c:numRef>
              <c:f>Sheet1!$E$28:$E$29</c:f>
              <c:numCache>
                <c:formatCode>General</c:formatCode>
                <c:ptCount val="2"/>
                <c:pt idx="0">
                  <c:v>264</c:v>
                </c:pt>
                <c:pt idx="1">
                  <c:v>458</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dLbl>
              <c:idx val="0"/>
              <c:layout>
                <c:manualLayout>
                  <c:x val="0.00972053338939436"/>
                  <c:y val="-0.02787456445993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1223113540422"/>
                  <c:y val="-0.02787456445993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[艺校目录1130.xlsx]Sheet4!$D$68:$D$69</c:f>
              <c:strCache>
                <c:ptCount val="2"/>
                <c:pt idx="0">
                  <c:v>求职中</c:v>
                </c:pt>
                <c:pt idx="1">
                  <c:v>拟升学</c:v>
                </c:pt>
              </c:strCache>
            </c:strRef>
          </c:cat>
          <c:val>
            <c:numRef>
              <c:f>[艺校目录1130.xlsx]Sheet4!$E$68:$E$69</c:f>
              <c:numCache>
                <c:formatCode>0.00%</c:formatCode>
                <c:ptCount val="2"/>
                <c:pt idx="0">
                  <c:v>0.9756</c:v>
                </c:pt>
                <c:pt idx="1">
                  <c:v>0.0244</c:v>
                </c:pt>
              </c:numCache>
            </c:numRef>
          </c:val>
        </c:ser>
        <c:dLbls>
          <c:showLegendKey val="0"/>
          <c:showVal val="0"/>
          <c:showCatName val="0"/>
          <c:showSerName val="0"/>
          <c:showPercent val="0"/>
          <c:showBubbleSize val="0"/>
        </c:dLbls>
        <c:gapWidth val="219"/>
        <c:overlap val="-27"/>
        <c:axId val="453092264"/>
        <c:axId val="453092592"/>
      </c:barChart>
      <c:catAx>
        <c:axId val="45309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092592"/>
        <c:crosses val="autoZero"/>
        <c:auto val="1"/>
        <c:lblAlgn val="ctr"/>
        <c:lblOffset val="100"/>
        <c:noMultiLvlLbl val="0"/>
      </c:catAx>
      <c:valAx>
        <c:axId val="453092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092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[艺校目录1130.xlsx]Sheet5!$C$26:$C$31</c:f>
              <c:strCache>
                <c:ptCount val="6"/>
                <c:pt idx="0">
                  <c:v>签就业协议形式就业</c:v>
                </c:pt>
                <c:pt idx="1">
                  <c:v>升学</c:v>
                </c:pt>
                <c:pt idx="2">
                  <c:v>待就业</c:v>
                </c:pt>
                <c:pt idx="3">
                  <c:v>签劳动合同形式就业</c:v>
                </c:pt>
                <c:pt idx="4">
                  <c:v>其他录用形式就业</c:v>
                </c:pt>
                <c:pt idx="5">
                  <c:v>不就业拟升学</c:v>
                </c:pt>
              </c:strCache>
            </c:strRef>
          </c:cat>
          <c:val>
            <c:numRef>
              <c:f>[艺校目录1130.xlsx]Sheet5!$D$26:$D$31</c:f>
              <c:numCache>
                <c:formatCode>0.00%</c:formatCode>
                <c:ptCount val="6"/>
                <c:pt idx="0">
                  <c:v>0.8172</c:v>
                </c:pt>
                <c:pt idx="1">
                  <c:v>0.0693</c:v>
                </c:pt>
                <c:pt idx="2">
                  <c:v>0.0554</c:v>
                </c:pt>
                <c:pt idx="3">
                  <c:v>0.0402</c:v>
                </c:pt>
                <c:pt idx="4">
                  <c:v>0.0166</c:v>
                </c:pt>
                <c:pt idx="5">
                  <c:v>0.0014</c:v>
                </c:pt>
              </c:numCache>
            </c:numRef>
          </c:val>
        </c:ser>
        <c:dLbls>
          <c:showLegendKey val="0"/>
          <c:showVal val="0"/>
          <c:showCatName val="0"/>
          <c:showSerName val="0"/>
          <c:showPercent val="0"/>
          <c:showBubbleSize val="0"/>
        </c:dLbls>
        <c:gapWidth val="122"/>
        <c:overlap val="0"/>
        <c:axId val="542863888"/>
        <c:axId val="542862248"/>
      </c:barChart>
      <c:catAx>
        <c:axId val="542863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862248"/>
        <c:crosses val="autoZero"/>
        <c:auto val="1"/>
        <c:lblAlgn val="ctr"/>
        <c:lblOffset val="100"/>
        <c:noMultiLvlLbl val="0"/>
      </c:catAx>
      <c:valAx>
        <c:axId val="542862248"/>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863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[艺校目录1130.xlsx]Sheet5!$D$79:$D$97</c:f>
              <c:strCache>
                <c:ptCount val="19"/>
                <c:pt idx="0">
                  <c:v>文化、体育和娱乐业</c:v>
                </c:pt>
                <c:pt idx="1">
                  <c:v>教育</c:v>
                </c:pt>
                <c:pt idx="2">
                  <c:v>批发和零售业</c:v>
                </c:pt>
                <c:pt idx="3">
                  <c:v>居民服务、修理和其他服务业</c:v>
                </c:pt>
                <c:pt idx="4">
                  <c:v>建筑业</c:v>
                </c:pt>
                <c:pt idx="5">
                  <c:v>住宿和餐饮业</c:v>
                </c:pt>
                <c:pt idx="6">
                  <c:v>制造业</c:v>
                </c:pt>
                <c:pt idx="7">
                  <c:v>信息传输、软件和信息技术服务业</c:v>
                </c:pt>
                <c:pt idx="8">
                  <c:v>金融业</c:v>
                </c:pt>
                <c:pt idx="9">
                  <c:v>租赁和商务服务业</c:v>
                </c:pt>
                <c:pt idx="10">
                  <c:v>房地产业</c:v>
                </c:pt>
                <c:pt idx="11">
                  <c:v>交通运输、仓储和邮政业</c:v>
                </c:pt>
                <c:pt idx="12">
                  <c:v>科学研究和技术服务业</c:v>
                </c:pt>
                <c:pt idx="13">
                  <c:v>农、林、牧、渔业</c:v>
                </c:pt>
                <c:pt idx="14">
                  <c:v>电力、热力、燃气及水生产和供应业</c:v>
                </c:pt>
                <c:pt idx="15">
                  <c:v>卫生和社会工作</c:v>
                </c:pt>
                <c:pt idx="16">
                  <c:v>公共管理、社会保障和社会组织</c:v>
                </c:pt>
                <c:pt idx="17">
                  <c:v>采矿业</c:v>
                </c:pt>
                <c:pt idx="18">
                  <c:v>水利、环境和公共设施管理业</c:v>
                </c:pt>
              </c:strCache>
            </c:strRef>
          </c:cat>
          <c:val>
            <c:numRef>
              <c:f>[艺校目录1130.xlsx]Sheet5!$E$79:$E$97</c:f>
              <c:numCache>
                <c:formatCode>0.00%</c:formatCode>
                <c:ptCount val="19"/>
                <c:pt idx="0">
                  <c:v>0.2726</c:v>
                </c:pt>
                <c:pt idx="1">
                  <c:v>0.1442</c:v>
                </c:pt>
                <c:pt idx="2">
                  <c:v>0.1094</c:v>
                </c:pt>
                <c:pt idx="3">
                  <c:v>0.0935</c:v>
                </c:pt>
                <c:pt idx="4">
                  <c:v>0.0634</c:v>
                </c:pt>
                <c:pt idx="5">
                  <c:v>0.0523</c:v>
                </c:pt>
                <c:pt idx="6">
                  <c:v>0.0475</c:v>
                </c:pt>
                <c:pt idx="7">
                  <c:v>0.0412</c:v>
                </c:pt>
                <c:pt idx="8">
                  <c:v>0.0349</c:v>
                </c:pt>
                <c:pt idx="9">
                  <c:v>0.0254</c:v>
                </c:pt>
                <c:pt idx="10">
                  <c:v>0.0222</c:v>
                </c:pt>
                <c:pt idx="11">
                  <c:v>0.0206</c:v>
                </c:pt>
                <c:pt idx="12">
                  <c:v>0.0206</c:v>
                </c:pt>
                <c:pt idx="13">
                  <c:v>0.019</c:v>
                </c:pt>
                <c:pt idx="14">
                  <c:v>0.0111</c:v>
                </c:pt>
                <c:pt idx="15">
                  <c:v>0.0079</c:v>
                </c:pt>
                <c:pt idx="16">
                  <c:v>0.0079</c:v>
                </c:pt>
                <c:pt idx="17">
                  <c:v>0.0032</c:v>
                </c:pt>
                <c:pt idx="18">
                  <c:v>0.0032</c:v>
                </c:pt>
              </c:numCache>
            </c:numRef>
          </c:val>
        </c:ser>
        <c:dLbls>
          <c:showLegendKey val="0"/>
          <c:showVal val="0"/>
          <c:showCatName val="0"/>
          <c:showSerName val="0"/>
          <c:showPercent val="0"/>
          <c:showBubbleSize val="0"/>
        </c:dLbls>
        <c:gapWidth val="56"/>
        <c:overlap val="0"/>
        <c:axId val="544850240"/>
        <c:axId val="544850568"/>
      </c:barChart>
      <c:catAx>
        <c:axId val="544850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50568"/>
        <c:crosses val="autoZero"/>
        <c:auto val="1"/>
        <c:lblAlgn val="ctr"/>
        <c:lblOffset val="100"/>
        <c:noMultiLvlLbl val="0"/>
      </c:catAx>
      <c:valAx>
        <c:axId val="544850568"/>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5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[艺校目录1130.xlsx]Sheet5!$E$124:$E$132</c:f>
              <c:strCache>
                <c:ptCount val="9"/>
                <c:pt idx="0">
                  <c:v>其他企业</c:v>
                </c:pt>
                <c:pt idx="1">
                  <c:v>其他事业单位</c:v>
                </c:pt>
                <c:pt idx="2">
                  <c:v>国有企业</c:v>
                </c:pt>
                <c:pt idx="3">
                  <c:v>中初教育单位</c:v>
                </c:pt>
                <c:pt idx="4">
                  <c:v>机关</c:v>
                </c:pt>
                <c:pt idx="5">
                  <c:v>三资企业</c:v>
                </c:pt>
                <c:pt idx="6">
                  <c:v>城镇社区</c:v>
                </c:pt>
                <c:pt idx="7">
                  <c:v>部队</c:v>
                </c:pt>
                <c:pt idx="8">
                  <c:v>医疗卫生单位</c:v>
                </c:pt>
              </c:strCache>
            </c:strRef>
          </c:cat>
          <c:val>
            <c:numRef>
              <c:f>[艺校目录1130.xlsx]Sheet5!$F$124:$F$132</c:f>
              <c:numCache>
                <c:formatCode>0.00%</c:formatCode>
                <c:ptCount val="9"/>
                <c:pt idx="0">
                  <c:v>0.7132</c:v>
                </c:pt>
                <c:pt idx="1">
                  <c:v>0.0507</c:v>
                </c:pt>
                <c:pt idx="2">
                  <c:v>0.0428</c:v>
                </c:pt>
                <c:pt idx="3">
                  <c:v>0.0285</c:v>
                </c:pt>
                <c:pt idx="4">
                  <c:v>0.0127</c:v>
                </c:pt>
                <c:pt idx="5">
                  <c:v>0.0095</c:v>
                </c:pt>
                <c:pt idx="6">
                  <c:v>0.0048</c:v>
                </c:pt>
                <c:pt idx="7">
                  <c:v>0.0032</c:v>
                </c:pt>
                <c:pt idx="8">
                  <c:v>0.0016</c:v>
                </c:pt>
              </c:numCache>
            </c:numRef>
          </c:val>
        </c:ser>
        <c:dLbls>
          <c:showLegendKey val="0"/>
          <c:showVal val="0"/>
          <c:showCatName val="0"/>
          <c:showSerName val="0"/>
          <c:showPercent val="0"/>
          <c:showBubbleSize val="0"/>
        </c:dLbls>
        <c:gapWidth val="61"/>
        <c:axId val="541518560"/>
        <c:axId val="541519544"/>
      </c:barChart>
      <c:catAx>
        <c:axId val="541518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519544"/>
        <c:crosses val="autoZero"/>
        <c:auto val="1"/>
        <c:lblAlgn val="ctr"/>
        <c:lblOffset val="100"/>
        <c:noMultiLvlLbl val="0"/>
      </c:catAx>
      <c:valAx>
        <c:axId val="54151954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151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[艺校目录1130.xlsx]Sheet5!$E$167:$E$180</c:f>
              <c:strCache>
                <c:ptCount val="14"/>
                <c:pt idx="0">
                  <c:v>其他人员</c:v>
                </c:pt>
                <c:pt idx="1">
                  <c:v>文学艺术工作人员</c:v>
                </c:pt>
                <c:pt idx="2">
                  <c:v>办事人员和有关人员</c:v>
                </c:pt>
                <c:pt idx="3">
                  <c:v>商业和服务业人员</c:v>
                </c:pt>
                <c:pt idx="4">
                  <c:v>教学人员</c:v>
                </c:pt>
                <c:pt idx="5">
                  <c:v>其他专业技术人员</c:v>
                </c:pt>
                <c:pt idx="6">
                  <c:v>经济业务人员</c:v>
                </c:pt>
                <c:pt idx="7">
                  <c:v>生产和运输设备操作人员</c:v>
                </c:pt>
                <c:pt idx="8">
                  <c:v>工程技术人员</c:v>
                </c:pt>
                <c:pt idx="9">
                  <c:v>农林牧渔业技术人员</c:v>
                </c:pt>
                <c:pt idx="10">
                  <c:v>新闻出版和文化工作人员</c:v>
                </c:pt>
                <c:pt idx="11">
                  <c:v>卫生专业技术人员</c:v>
                </c:pt>
                <c:pt idx="12">
                  <c:v>金融业务人员</c:v>
                </c:pt>
                <c:pt idx="13">
                  <c:v>军人</c:v>
                </c:pt>
              </c:strCache>
            </c:strRef>
          </c:cat>
          <c:val>
            <c:numRef>
              <c:f>[艺校目录1130.xlsx]Sheet5!$F$167:$F$180</c:f>
              <c:numCache>
                <c:formatCode>0.00%</c:formatCode>
                <c:ptCount val="14"/>
                <c:pt idx="0">
                  <c:v>0.4485</c:v>
                </c:pt>
                <c:pt idx="1">
                  <c:v>0.1569</c:v>
                </c:pt>
                <c:pt idx="2">
                  <c:v>0.1347</c:v>
                </c:pt>
                <c:pt idx="3">
                  <c:v>0.0872</c:v>
                </c:pt>
                <c:pt idx="4">
                  <c:v>0.0856</c:v>
                </c:pt>
                <c:pt idx="5">
                  <c:v>0.038</c:v>
                </c:pt>
                <c:pt idx="6">
                  <c:v>0.0158</c:v>
                </c:pt>
                <c:pt idx="7">
                  <c:v>0.0095</c:v>
                </c:pt>
                <c:pt idx="8">
                  <c:v>0.0079</c:v>
                </c:pt>
                <c:pt idx="9">
                  <c:v>0.0063</c:v>
                </c:pt>
                <c:pt idx="10">
                  <c:v>0.0048</c:v>
                </c:pt>
                <c:pt idx="11">
                  <c:v>0.0016</c:v>
                </c:pt>
                <c:pt idx="12">
                  <c:v>0.0016</c:v>
                </c:pt>
                <c:pt idx="13">
                  <c:v>0.0016</c:v>
                </c:pt>
              </c:numCache>
            </c:numRef>
          </c:val>
        </c:ser>
        <c:dLbls>
          <c:showLegendKey val="0"/>
          <c:showVal val="0"/>
          <c:showCatName val="0"/>
          <c:showSerName val="0"/>
          <c:showPercent val="0"/>
          <c:showBubbleSize val="0"/>
        </c:dLbls>
        <c:gapWidth val="31"/>
        <c:axId val="551864584"/>
        <c:axId val="551868192"/>
      </c:barChart>
      <c:catAx>
        <c:axId val="551864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868192"/>
        <c:crosses val="autoZero"/>
        <c:auto val="1"/>
        <c:lblAlgn val="ctr"/>
        <c:lblOffset val="100"/>
        <c:noMultiLvlLbl val="0"/>
      </c:catAx>
      <c:valAx>
        <c:axId val="55186819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864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[艺校目录1130.xlsx]Sheet5!$D$205:$D$210</c:f>
              <c:strCache>
                <c:ptCount val="6"/>
                <c:pt idx="0">
                  <c:v>华东地区</c:v>
                </c:pt>
                <c:pt idx="1">
                  <c:v>海外及其它</c:v>
                </c:pt>
                <c:pt idx="2">
                  <c:v>华北地区</c:v>
                </c:pt>
                <c:pt idx="3">
                  <c:v>华中地区</c:v>
                </c:pt>
                <c:pt idx="4">
                  <c:v>华南地区</c:v>
                </c:pt>
                <c:pt idx="5">
                  <c:v>西北地区</c:v>
                </c:pt>
              </c:strCache>
            </c:strRef>
          </c:cat>
          <c:val>
            <c:numRef>
              <c:f>[艺校目录1130.xlsx]Sheet5!$E$205:$E$210</c:f>
              <c:numCache>
                <c:formatCode>0.00%</c:formatCode>
                <c:ptCount val="6"/>
                <c:pt idx="0">
                  <c:v>0.953</c:v>
                </c:pt>
                <c:pt idx="1">
                  <c:v>0.025</c:v>
                </c:pt>
                <c:pt idx="2">
                  <c:v>0.0103</c:v>
                </c:pt>
                <c:pt idx="3">
                  <c:v>0.0059</c:v>
                </c:pt>
                <c:pt idx="4">
                  <c:v>0.0044</c:v>
                </c:pt>
                <c:pt idx="5">
                  <c:v>0.0015</c:v>
                </c:pt>
              </c:numCache>
            </c:numRef>
          </c:val>
        </c:ser>
        <c:dLbls>
          <c:showLegendKey val="0"/>
          <c:showVal val="0"/>
          <c:showCatName val="0"/>
          <c:showSerName val="0"/>
          <c:showPercent val="0"/>
          <c:showBubbleSize val="0"/>
        </c:dLbls>
        <c:gapWidth val="112"/>
        <c:axId val="552566040"/>
        <c:axId val="552569648"/>
      </c:barChart>
      <c:catAx>
        <c:axId val="552566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569648"/>
        <c:crosses val="autoZero"/>
        <c:auto val="1"/>
        <c:lblAlgn val="ctr"/>
        <c:lblOffset val="100"/>
        <c:noMultiLvlLbl val="0"/>
      </c:catAx>
      <c:valAx>
        <c:axId val="552569648"/>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256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[艺校目录1130.xlsx]Sheet5!$E$324:$E$330</c:f>
              <c:strCache>
                <c:ptCount val="7"/>
                <c:pt idx="0">
                  <c:v>省会城市</c:v>
                </c:pt>
                <c:pt idx="1">
                  <c:v>地级市</c:v>
                </c:pt>
                <c:pt idx="2">
                  <c:v>县</c:v>
                </c:pt>
                <c:pt idx="3">
                  <c:v>直辖市</c:v>
                </c:pt>
                <c:pt idx="4">
                  <c:v>海外及其它</c:v>
                </c:pt>
                <c:pt idx="5">
                  <c:v>县级市</c:v>
                </c:pt>
                <c:pt idx="6">
                  <c:v>计划单列市</c:v>
                </c:pt>
              </c:strCache>
            </c:strRef>
          </c:cat>
          <c:val>
            <c:numRef>
              <c:f>[艺校目录1130.xlsx]Sheet5!$F$324:$F$330</c:f>
              <c:numCache>
                <c:formatCode>0.00%</c:formatCode>
                <c:ptCount val="7"/>
                <c:pt idx="0">
                  <c:v>0.5066</c:v>
                </c:pt>
                <c:pt idx="1">
                  <c:v>0.2305</c:v>
                </c:pt>
                <c:pt idx="2">
                  <c:v>0.188</c:v>
                </c:pt>
                <c:pt idx="3">
                  <c:v>0.0367</c:v>
                </c:pt>
                <c:pt idx="4">
                  <c:v>0.025</c:v>
                </c:pt>
                <c:pt idx="5">
                  <c:v>0.0073</c:v>
                </c:pt>
                <c:pt idx="6">
                  <c:v>0.0029</c:v>
                </c:pt>
              </c:numCache>
            </c:numRef>
          </c:val>
        </c:ser>
        <c:dLbls>
          <c:showLegendKey val="0"/>
          <c:showVal val="0"/>
          <c:showCatName val="0"/>
          <c:showSerName val="0"/>
          <c:showPercent val="0"/>
          <c:showBubbleSize val="0"/>
        </c:dLbls>
        <c:gapWidth val="82"/>
        <c:axId val="454975344"/>
        <c:axId val="454977640"/>
      </c:barChart>
      <c:catAx>
        <c:axId val="454975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977640"/>
        <c:crosses val="autoZero"/>
        <c:auto val="1"/>
        <c:lblAlgn val="ctr"/>
        <c:lblOffset val="100"/>
        <c:noMultiLvlLbl val="0"/>
      </c:catAx>
      <c:valAx>
        <c:axId val="454977640"/>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97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972222222222"/>
          <c:y val="0.0441767068273092"/>
          <c:w val="0.757555555555556"/>
          <c:h val="0.911646586345382"/>
        </c:manualLayout>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[艺校目录1130.xlsx]Sheet5!$E$268:$E$280</c:f>
              <c:strCache>
                <c:ptCount val="13"/>
                <c:pt idx="0">
                  <c:v>安徽省</c:v>
                </c:pt>
                <c:pt idx="1">
                  <c:v>江西省</c:v>
                </c:pt>
                <c:pt idx="2">
                  <c:v>江苏省</c:v>
                </c:pt>
                <c:pt idx="3">
                  <c:v>上海市</c:v>
                </c:pt>
                <c:pt idx="4">
                  <c:v>海外及其它</c:v>
                </c:pt>
                <c:pt idx="5">
                  <c:v>浙江省</c:v>
                </c:pt>
                <c:pt idx="6">
                  <c:v>北京市</c:v>
                </c:pt>
                <c:pt idx="7">
                  <c:v>湖北省</c:v>
                </c:pt>
                <c:pt idx="8">
                  <c:v>河北省</c:v>
                </c:pt>
                <c:pt idx="9">
                  <c:v>广东省</c:v>
                </c:pt>
                <c:pt idx="10">
                  <c:v>福建省</c:v>
                </c:pt>
                <c:pt idx="11">
                  <c:v>广西壮族自治区</c:v>
                </c:pt>
                <c:pt idx="12">
                  <c:v>陕西省</c:v>
                </c:pt>
              </c:strCache>
            </c:strRef>
          </c:cat>
          <c:val>
            <c:numRef>
              <c:f>[艺校目录1130.xlsx]Sheet5!$F$268:$F$280</c:f>
              <c:numCache>
                <c:formatCode>0.00%</c:formatCode>
                <c:ptCount val="13"/>
                <c:pt idx="0">
                  <c:v>0.8209</c:v>
                </c:pt>
                <c:pt idx="1">
                  <c:v>0.0455</c:v>
                </c:pt>
                <c:pt idx="2">
                  <c:v>0.0411</c:v>
                </c:pt>
                <c:pt idx="3">
                  <c:v>0.0308</c:v>
                </c:pt>
                <c:pt idx="4">
                  <c:v>0.025</c:v>
                </c:pt>
                <c:pt idx="5">
                  <c:v>0.0132</c:v>
                </c:pt>
                <c:pt idx="6">
                  <c:v>0.0073</c:v>
                </c:pt>
                <c:pt idx="7">
                  <c:v>0.0059</c:v>
                </c:pt>
                <c:pt idx="8">
                  <c:v>0.0029</c:v>
                </c:pt>
                <c:pt idx="9">
                  <c:v>0.0029</c:v>
                </c:pt>
                <c:pt idx="10">
                  <c:v>0.0015</c:v>
                </c:pt>
                <c:pt idx="11">
                  <c:v>0.0015</c:v>
                </c:pt>
                <c:pt idx="12">
                  <c:v>0.0015</c:v>
                </c:pt>
              </c:numCache>
            </c:numRef>
          </c:val>
        </c:ser>
        <c:dLbls>
          <c:showLegendKey val="0"/>
          <c:showVal val="0"/>
          <c:showCatName val="0"/>
          <c:showSerName val="0"/>
          <c:showPercent val="0"/>
          <c:showBubbleSize val="0"/>
        </c:dLbls>
        <c:gapWidth val="26"/>
        <c:overlap val="-29"/>
        <c:axId val="453197200"/>
        <c:axId val="453196872"/>
      </c:barChart>
      <c:catAx>
        <c:axId val="453197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196872"/>
        <c:crosses val="autoZero"/>
        <c:auto val="1"/>
        <c:lblAlgn val="ctr"/>
        <c:lblOffset val="100"/>
        <c:noMultiLvlLbl val="0"/>
      </c:catAx>
      <c:valAx>
        <c:axId val="45319687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319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solidFill>
              <a:ln>
                <a:noFill/>
              </a:ln>
              <a:effectLst/>
              <a:sp3d/>
            </c:spPr>
          </c:dPt>
          <c:dPt>
            <c:idx val="1"/>
            <c:invertIfNegative val="0"/>
            <c:bubble3D val="0"/>
            <c:spPr>
              <a:solidFill>
                <a:schemeClr val="accent2"/>
              </a:solidFill>
              <a:ln>
                <a:noFill/>
              </a:ln>
              <a:effectLst/>
              <a:sp3d/>
            </c:spPr>
          </c:dPt>
          <c:dLbls>
            <c:dLbl>
              <c:idx val="0"/>
              <c:layout>
                <c:manualLayout>
                  <c:x val="0.0407643257583194"/>
                  <c:y val="-0.05063291139240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382296620386"/>
                  <c:y val="-0.0225035161744023"/>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127405369389255"/>
                      <c:h val="0.106807535134058"/>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[艺校目录1130.xlsx]Sheet6!$D$14:$D$15</c:f>
              <c:strCache>
                <c:ptCount val="2"/>
                <c:pt idx="0">
                  <c:v>安徽省</c:v>
                </c:pt>
                <c:pt idx="1">
                  <c:v>江西省</c:v>
                </c:pt>
              </c:strCache>
            </c:strRef>
          </c:cat>
          <c:val>
            <c:numRef>
              <c:f>[艺校目录1130.xlsx]Sheet6!$E$14:$E$15</c:f>
              <c:numCache>
                <c:formatCode>0.00%</c:formatCode>
                <c:ptCount val="2"/>
                <c:pt idx="0">
                  <c:v>0.3991</c:v>
                </c:pt>
                <c:pt idx="1">
                  <c:v>1</c:v>
                </c:pt>
              </c:numCache>
            </c:numRef>
          </c:val>
        </c:ser>
        <c:dLbls>
          <c:showLegendKey val="0"/>
          <c:showVal val="0"/>
          <c:showCatName val="0"/>
          <c:showSerName val="0"/>
          <c:showPercent val="0"/>
          <c:showBubbleSize val="0"/>
        </c:dLbls>
        <c:gapWidth val="209"/>
        <c:axId val="454984200"/>
        <c:axId val="454983872"/>
      </c:barChart>
      <c:catAx>
        <c:axId val="454984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983872"/>
        <c:crosses val="autoZero"/>
        <c:auto val="1"/>
        <c:lblAlgn val="ctr"/>
        <c:lblOffset val="100"/>
        <c:noMultiLvlLbl val="0"/>
      </c:catAx>
      <c:valAx>
        <c:axId val="454983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984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[艺校目录1130.xlsx]Sheet6!$D$56:$D$71</c:f>
              <c:strCache>
                <c:ptCount val="16"/>
                <c:pt idx="0">
                  <c:v>安徽省合肥市</c:v>
                </c:pt>
                <c:pt idx="1">
                  <c:v>安徽省马鞍山市</c:v>
                </c:pt>
                <c:pt idx="2">
                  <c:v>安徽省芜湖市</c:v>
                </c:pt>
                <c:pt idx="3">
                  <c:v>安徽省淮北市</c:v>
                </c:pt>
                <c:pt idx="4">
                  <c:v>安徽省滁州市</c:v>
                </c:pt>
                <c:pt idx="5">
                  <c:v>安徽省蚌埠市</c:v>
                </c:pt>
                <c:pt idx="6">
                  <c:v>安徽省亳州市</c:v>
                </c:pt>
                <c:pt idx="7">
                  <c:v>安徽省池州市</c:v>
                </c:pt>
                <c:pt idx="8">
                  <c:v>安徽省六安市</c:v>
                </c:pt>
                <c:pt idx="9">
                  <c:v>安徽省铜陵市</c:v>
                </c:pt>
                <c:pt idx="10">
                  <c:v>安徽省宿州市</c:v>
                </c:pt>
                <c:pt idx="11">
                  <c:v>安徽省阜阳市</c:v>
                </c:pt>
                <c:pt idx="12">
                  <c:v>安徽省淮南市</c:v>
                </c:pt>
                <c:pt idx="13">
                  <c:v>安徽省黄山市</c:v>
                </c:pt>
                <c:pt idx="14">
                  <c:v>安徽省安庆市</c:v>
                </c:pt>
                <c:pt idx="15">
                  <c:v>安徽省宣城市</c:v>
                </c:pt>
              </c:strCache>
            </c:strRef>
          </c:cat>
          <c:val>
            <c:numRef>
              <c:f>[艺校目录1130.xlsx]Sheet6!$E$56:$E$71</c:f>
              <c:numCache>
                <c:formatCode>0.00%</c:formatCode>
                <c:ptCount val="16"/>
                <c:pt idx="0">
                  <c:v>0.7821</c:v>
                </c:pt>
                <c:pt idx="1">
                  <c:v>0.625</c:v>
                </c:pt>
                <c:pt idx="2">
                  <c:v>0.4444</c:v>
                </c:pt>
                <c:pt idx="3">
                  <c:v>0.4286</c:v>
                </c:pt>
                <c:pt idx="4">
                  <c:v>0.425</c:v>
                </c:pt>
                <c:pt idx="5">
                  <c:v>0.375</c:v>
                </c:pt>
                <c:pt idx="6">
                  <c:v>0.3143</c:v>
                </c:pt>
                <c:pt idx="7">
                  <c:v>0.2857</c:v>
                </c:pt>
                <c:pt idx="8">
                  <c:v>0.2742</c:v>
                </c:pt>
                <c:pt idx="9">
                  <c:v>0.2593</c:v>
                </c:pt>
                <c:pt idx="10">
                  <c:v>0.25</c:v>
                </c:pt>
                <c:pt idx="11">
                  <c:v>0.2286</c:v>
                </c:pt>
                <c:pt idx="12">
                  <c:v>0.2069</c:v>
                </c:pt>
                <c:pt idx="13">
                  <c:v>0.2</c:v>
                </c:pt>
                <c:pt idx="14">
                  <c:v>0.1702</c:v>
                </c:pt>
                <c:pt idx="15">
                  <c:v>0.0909</c:v>
                </c:pt>
              </c:numCache>
            </c:numRef>
          </c:val>
        </c:ser>
        <c:dLbls>
          <c:showLegendKey val="0"/>
          <c:showVal val="0"/>
          <c:showCatName val="0"/>
          <c:showSerName val="0"/>
          <c:showPercent val="0"/>
          <c:showBubbleSize val="0"/>
        </c:dLbls>
        <c:gapWidth val="51"/>
        <c:axId val="556308888"/>
        <c:axId val="556314464"/>
      </c:barChart>
      <c:catAx>
        <c:axId val="556308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314464"/>
        <c:crosses val="autoZero"/>
        <c:auto val="1"/>
        <c:lblAlgn val="ctr"/>
        <c:lblOffset val="100"/>
        <c:noMultiLvlLbl val="0"/>
      </c:catAx>
      <c:valAx>
        <c:axId val="556314464"/>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308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[艺校目录1130.xlsx]Sheet2!$E$35:$E$37</c:f>
              <c:strCache>
                <c:ptCount val="3"/>
                <c:pt idx="0">
                  <c:v>艺术设计传媒大类</c:v>
                </c:pt>
                <c:pt idx="1">
                  <c:v>交通运输大类</c:v>
                </c:pt>
                <c:pt idx="2">
                  <c:v>文化教育大类</c:v>
                </c:pt>
              </c:strCache>
            </c:strRef>
          </c:cat>
          <c:val>
            <c:numRef>
              <c:f>[艺校目录1130.xlsx]Sheet2!$F$35:$F$37</c:f>
              <c:numCache>
                <c:formatCode>General</c:formatCode>
                <c:ptCount val="3"/>
                <c:pt idx="0">
                  <c:v>670</c:v>
                </c:pt>
                <c:pt idx="1">
                  <c:v>50</c:v>
                </c:pt>
                <c:pt idx="2">
                  <c:v>2</c:v>
                </c:pt>
              </c:numCache>
            </c:numRef>
          </c:val>
        </c:ser>
        <c:dLbls>
          <c:showLegendKey val="0"/>
          <c:showVal val="1"/>
          <c:showCatName val="0"/>
          <c:showSerName val="0"/>
          <c:showPercent val="0"/>
          <c:showBubbleSize val="0"/>
        </c:dLbls>
        <c:gapWidth val="133"/>
        <c:overlap val="-27"/>
        <c:axId val="449617104"/>
        <c:axId val="452005864"/>
      </c:barChart>
      <c:catAx>
        <c:axId val="44961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005864"/>
        <c:crosses val="autoZero"/>
        <c:auto val="1"/>
        <c:lblAlgn val="ctr"/>
        <c:lblOffset val="100"/>
        <c:noMultiLvlLbl val="0"/>
      </c:catAx>
      <c:valAx>
        <c:axId val="45200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61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[艺校目录1225.xlsx]Sheet1!$E$50:$E$51</c:f>
              <c:strCache>
                <c:ptCount val="2"/>
                <c:pt idx="0">
                  <c:v>汉族</c:v>
                </c:pt>
                <c:pt idx="1">
                  <c:v>回族</c:v>
                </c:pt>
              </c:strCache>
            </c:strRef>
          </c:cat>
          <c:val>
            <c:numRef>
              <c:f>[艺校目录1225.xlsx]Sheet1!$F$50:$F$51</c:f>
              <c:numCache>
                <c:formatCode>General</c:formatCode>
                <c:ptCount val="2"/>
                <c:pt idx="0">
                  <c:v>714</c:v>
                </c:pt>
                <c:pt idx="1">
                  <c:v>8</c:v>
                </c:pt>
              </c:numCache>
            </c:numRef>
          </c:val>
        </c:ser>
        <c:dLbls>
          <c:showLegendKey val="0"/>
          <c:showVal val="1"/>
          <c:showCatName val="0"/>
          <c:showSerName val="0"/>
          <c:showPercent val="0"/>
          <c:showBubbleSize val="0"/>
        </c:dLbls>
        <c:gapWidth val="219"/>
        <c:overlap val="-27"/>
        <c:axId val="448038024"/>
        <c:axId val="448041304"/>
      </c:barChart>
      <c:catAx>
        <c:axId val="44803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041304"/>
        <c:crosses val="autoZero"/>
        <c:auto val="1"/>
        <c:lblAlgn val="ctr"/>
        <c:lblOffset val="100"/>
        <c:noMultiLvlLbl val="0"/>
      </c:catAx>
      <c:valAx>
        <c:axId val="448041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038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96852836879433"/>
          <c:y val="0.0469644902634593"/>
          <c:w val="0.915935283687943"/>
          <c:h val="0.839266895761741"/>
        </c:manualLayout>
      </c:layout>
      <c:barChart>
        <c:barDir val="col"/>
        <c:grouping val="clustered"/>
        <c:varyColors val="0"/>
        <c:ser>
          <c:idx val="0"/>
          <c:order val="0"/>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[艺校目录1130.xlsx]Sheet3!$E$47:$E$51</c:f>
              <c:strCache>
                <c:ptCount val="5"/>
                <c:pt idx="0">
                  <c:v>安徽省</c:v>
                </c:pt>
                <c:pt idx="1">
                  <c:v>江西省</c:v>
                </c:pt>
                <c:pt idx="2">
                  <c:v>河南省</c:v>
                </c:pt>
                <c:pt idx="3">
                  <c:v>湖北省</c:v>
                </c:pt>
                <c:pt idx="4">
                  <c:v>广东省</c:v>
                </c:pt>
              </c:strCache>
            </c:strRef>
          </c:cat>
          <c:val>
            <c:numRef>
              <c:f>[艺校目录1130.xlsx]Sheet3!$F$47:$F$51</c:f>
              <c:numCache>
                <c:formatCode>General</c:formatCode>
                <c:ptCount val="5"/>
                <c:pt idx="0">
                  <c:v>689</c:v>
                </c:pt>
                <c:pt idx="1">
                  <c:v>29</c:v>
                </c:pt>
                <c:pt idx="2">
                  <c:v>2</c:v>
                </c:pt>
                <c:pt idx="3">
                  <c:v>1</c:v>
                </c:pt>
                <c:pt idx="4">
                  <c:v>1</c:v>
                </c:pt>
              </c:numCache>
            </c:numRef>
          </c:val>
        </c:ser>
        <c:dLbls>
          <c:showLegendKey val="0"/>
          <c:showVal val="0"/>
          <c:showCatName val="0"/>
          <c:showSerName val="0"/>
          <c:showPercent val="0"/>
          <c:showBubbleSize val="0"/>
        </c:dLbls>
        <c:gapWidth val="150"/>
        <c:axId val="452259432"/>
        <c:axId val="452260088"/>
      </c:barChart>
      <c:catAx>
        <c:axId val="452259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260088"/>
        <c:crosses val="autoZero"/>
        <c:auto val="1"/>
        <c:lblAlgn val="ctr"/>
        <c:lblOffset val="100"/>
        <c:noMultiLvlLbl val="0"/>
      </c:catAx>
      <c:valAx>
        <c:axId val="452260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259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[艺校目录1225.xlsx]Sheet3!$E$120</c:f>
              <c:strCache>
                <c:ptCount val="1"/>
                <c:pt idx="0">
                  <c:v>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[艺校目录1225.xlsx]Sheet3!$D$121:$D$136</c:f>
              <c:strCache>
                <c:ptCount val="16"/>
                <c:pt idx="0">
                  <c:v>合肥市</c:v>
                </c:pt>
                <c:pt idx="1">
                  <c:v>阜阳市</c:v>
                </c:pt>
                <c:pt idx="2">
                  <c:v>六安市</c:v>
                </c:pt>
                <c:pt idx="3">
                  <c:v>淮南市</c:v>
                </c:pt>
                <c:pt idx="4">
                  <c:v>安庆市</c:v>
                </c:pt>
                <c:pt idx="5">
                  <c:v>宿州市</c:v>
                </c:pt>
                <c:pt idx="6">
                  <c:v>滁州市</c:v>
                </c:pt>
                <c:pt idx="7">
                  <c:v>亳州市</c:v>
                </c:pt>
                <c:pt idx="8">
                  <c:v>芜湖市</c:v>
                </c:pt>
                <c:pt idx="9">
                  <c:v>铜陵市</c:v>
                </c:pt>
                <c:pt idx="10">
                  <c:v>蚌埠市</c:v>
                </c:pt>
                <c:pt idx="11">
                  <c:v>宣城市</c:v>
                </c:pt>
                <c:pt idx="12">
                  <c:v>淮北市</c:v>
                </c:pt>
                <c:pt idx="13">
                  <c:v>池州市</c:v>
                </c:pt>
                <c:pt idx="14">
                  <c:v>马鞍山市</c:v>
                </c:pt>
                <c:pt idx="15">
                  <c:v>黄山市</c:v>
                </c:pt>
              </c:strCache>
            </c:strRef>
          </c:cat>
          <c:val>
            <c:numRef>
              <c:f>[艺校目录1225.xlsx]Sheet3!$E$121:$E$136</c:f>
              <c:numCache>
                <c:formatCode>General</c:formatCode>
                <c:ptCount val="16"/>
                <c:pt idx="0">
                  <c:v>168</c:v>
                </c:pt>
                <c:pt idx="1">
                  <c:v>70</c:v>
                </c:pt>
                <c:pt idx="2">
                  <c:v>67</c:v>
                </c:pt>
                <c:pt idx="3">
                  <c:v>60</c:v>
                </c:pt>
                <c:pt idx="4">
                  <c:v>48</c:v>
                </c:pt>
                <c:pt idx="5">
                  <c:v>46</c:v>
                </c:pt>
                <c:pt idx="6">
                  <c:v>45</c:v>
                </c:pt>
                <c:pt idx="7">
                  <c:v>37</c:v>
                </c:pt>
                <c:pt idx="8">
                  <c:v>29</c:v>
                </c:pt>
                <c:pt idx="9">
                  <c:v>28</c:v>
                </c:pt>
                <c:pt idx="10">
                  <c:v>27</c:v>
                </c:pt>
                <c:pt idx="11">
                  <c:v>22</c:v>
                </c:pt>
                <c:pt idx="12">
                  <c:v>15</c:v>
                </c:pt>
                <c:pt idx="13">
                  <c:v>14</c:v>
                </c:pt>
                <c:pt idx="14">
                  <c:v>8</c:v>
                </c:pt>
                <c:pt idx="15">
                  <c:v>5</c:v>
                </c:pt>
              </c:numCache>
            </c:numRef>
          </c:val>
        </c:ser>
        <c:dLbls>
          <c:showLegendKey val="0"/>
          <c:showVal val="0"/>
          <c:showCatName val="0"/>
          <c:showSerName val="0"/>
          <c:showPercent val="0"/>
          <c:showBubbleSize val="0"/>
        </c:dLbls>
        <c:gapWidth val="82"/>
        <c:overlap val="0"/>
        <c:axId val="456120304"/>
        <c:axId val="456117352"/>
      </c:barChart>
      <c:lineChart>
        <c:grouping val="standard"/>
        <c:varyColors val="0"/>
        <c:ser>
          <c:idx val="1"/>
          <c:order val="1"/>
          <c:tx>
            <c:strRef>
              <c:f>[艺校目录1225.xlsx]Sheet3!$F$120</c:f>
              <c:strCache>
                <c:ptCount val="1"/>
                <c:pt idx="0">
                  <c:v>比例</c:v>
                </c:pt>
              </c:strCache>
            </c:strRef>
          </c:tx>
          <c:spPr>
            <a:ln w="28575" cap="rnd">
              <a:solidFill>
                <a:schemeClr val="accent4"/>
              </a:solidFill>
              <a:round/>
            </a:ln>
            <a:effectLst/>
          </c:spPr>
          <c:marker>
            <c:symbol val="none"/>
          </c:marker>
          <c:dLbls>
            <c:delete val="1"/>
          </c:dLbls>
          <c:cat>
            <c:strRef>
              <c:f>[艺校目录1225.xlsx]Sheet3!$D$121:$D$136</c:f>
              <c:strCache>
                <c:ptCount val="16"/>
                <c:pt idx="0">
                  <c:v>合肥市</c:v>
                </c:pt>
                <c:pt idx="1">
                  <c:v>阜阳市</c:v>
                </c:pt>
                <c:pt idx="2">
                  <c:v>六安市</c:v>
                </c:pt>
                <c:pt idx="3">
                  <c:v>淮南市</c:v>
                </c:pt>
                <c:pt idx="4">
                  <c:v>安庆市</c:v>
                </c:pt>
                <c:pt idx="5">
                  <c:v>宿州市</c:v>
                </c:pt>
                <c:pt idx="6">
                  <c:v>滁州市</c:v>
                </c:pt>
                <c:pt idx="7">
                  <c:v>亳州市</c:v>
                </c:pt>
                <c:pt idx="8">
                  <c:v>芜湖市</c:v>
                </c:pt>
                <c:pt idx="9">
                  <c:v>铜陵市</c:v>
                </c:pt>
                <c:pt idx="10">
                  <c:v>蚌埠市</c:v>
                </c:pt>
                <c:pt idx="11">
                  <c:v>宣城市</c:v>
                </c:pt>
                <c:pt idx="12">
                  <c:v>淮北市</c:v>
                </c:pt>
                <c:pt idx="13">
                  <c:v>池州市</c:v>
                </c:pt>
                <c:pt idx="14">
                  <c:v>马鞍山市</c:v>
                </c:pt>
                <c:pt idx="15">
                  <c:v>黄山市</c:v>
                </c:pt>
              </c:strCache>
            </c:strRef>
          </c:cat>
          <c:val>
            <c:numRef>
              <c:f>[艺校目录1225.xlsx]Sheet3!$F$121:$F$136</c:f>
              <c:numCache>
                <c:formatCode>0.00%</c:formatCode>
                <c:ptCount val="16"/>
                <c:pt idx="0">
                  <c:v>0.2438</c:v>
                </c:pt>
                <c:pt idx="1">
                  <c:v>0.1016</c:v>
                </c:pt>
                <c:pt idx="2">
                  <c:v>0.0972</c:v>
                </c:pt>
                <c:pt idx="3">
                  <c:v>0.0871</c:v>
                </c:pt>
                <c:pt idx="4">
                  <c:v>0.0697</c:v>
                </c:pt>
                <c:pt idx="5">
                  <c:v>0.0668</c:v>
                </c:pt>
                <c:pt idx="6">
                  <c:v>0.0653</c:v>
                </c:pt>
                <c:pt idx="7">
                  <c:v>0.0537</c:v>
                </c:pt>
                <c:pt idx="8">
                  <c:v>0.0421</c:v>
                </c:pt>
                <c:pt idx="9">
                  <c:v>0.0406</c:v>
                </c:pt>
                <c:pt idx="10">
                  <c:v>0.0392</c:v>
                </c:pt>
                <c:pt idx="11">
                  <c:v>0.0319</c:v>
                </c:pt>
                <c:pt idx="12">
                  <c:v>0.0218</c:v>
                </c:pt>
                <c:pt idx="13">
                  <c:v>0.0203</c:v>
                </c:pt>
                <c:pt idx="14">
                  <c:v>0.0116</c:v>
                </c:pt>
                <c:pt idx="15">
                  <c:v>0.0073</c:v>
                </c:pt>
              </c:numCache>
            </c:numRef>
          </c:val>
          <c:smooth val="0"/>
        </c:ser>
        <c:dLbls>
          <c:showLegendKey val="0"/>
          <c:showVal val="0"/>
          <c:showCatName val="0"/>
          <c:showSerName val="0"/>
          <c:showPercent val="0"/>
          <c:showBubbleSize val="0"/>
        </c:dLbls>
        <c:marker val="0"/>
        <c:smooth val="0"/>
        <c:axId val="450564032"/>
        <c:axId val="450563704"/>
      </c:lineChart>
      <c:catAx>
        <c:axId val="45612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117352"/>
        <c:crosses val="autoZero"/>
        <c:auto val="1"/>
        <c:lblAlgn val="ctr"/>
        <c:lblOffset val="100"/>
        <c:noMultiLvlLbl val="0"/>
      </c:catAx>
      <c:valAx>
        <c:axId val="456117352"/>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120304"/>
        <c:crosses val="autoZero"/>
        <c:crossBetween val="between"/>
      </c:valAx>
      <c:catAx>
        <c:axId val="45056403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563704"/>
        <c:crosses val="autoZero"/>
        <c:auto val="1"/>
        <c:lblAlgn val="ctr"/>
        <c:lblOffset val="100"/>
        <c:noMultiLvlLbl val="0"/>
      </c:catAx>
      <c:valAx>
        <c:axId val="450563704"/>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56403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dPt>
          <c:dPt>
            <c:idx val="2"/>
            <c:invertIfNegative val="0"/>
            <c:bubble3D val="0"/>
            <c:spPr>
              <a:solidFill>
                <a:schemeClr val="accent4"/>
              </a:solidFill>
              <a:ln>
                <a:noFill/>
              </a:ln>
              <a:effectLst/>
              <a:sp3d/>
            </c:spPr>
          </c:dPt>
          <c:dLbls>
            <c:dLbl>
              <c:idx val="0"/>
              <c:layout>
                <c:manualLayout>
                  <c:x val="0.0138888888888888"/>
                  <c:y val="-0.013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[艺校目录1130.xlsx]Sheet3!$D$152:$D$154</c:f>
              <c:strCache>
                <c:ptCount val="3"/>
                <c:pt idx="0">
                  <c:v>男</c:v>
                </c:pt>
                <c:pt idx="1">
                  <c:v>女</c:v>
                </c:pt>
                <c:pt idx="2">
                  <c:v>合计</c:v>
                </c:pt>
              </c:strCache>
            </c:strRef>
          </c:cat>
          <c:val>
            <c:numRef>
              <c:f>[艺校目录1130.xlsx]Sheet3!$E$152:$E$154</c:f>
              <c:numCache>
                <c:formatCode>0.00%</c:formatCode>
                <c:ptCount val="3"/>
                <c:pt idx="0">
                  <c:v>0.9621</c:v>
                </c:pt>
                <c:pt idx="1">
                  <c:v>0.9323</c:v>
                </c:pt>
                <c:pt idx="2">
                  <c:v>0.9432</c:v>
                </c:pt>
              </c:numCache>
            </c:numRef>
          </c:val>
        </c:ser>
        <c:dLbls>
          <c:showLegendKey val="0"/>
          <c:showVal val="0"/>
          <c:showCatName val="0"/>
          <c:showSerName val="0"/>
          <c:showPercent val="0"/>
          <c:showBubbleSize val="0"/>
        </c:dLbls>
        <c:gapWidth val="150"/>
        <c:axId val="544810592"/>
        <c:axId val="544811576"/>
      </c:barChart>
      <c:catAx>
        <c:axId val="544810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11576"/>
        <c:crosses val="autoZero"/>
        <c:auto val="1"/>
        <c:lblAlgn val="ctr"/>
        <c:lblOffset val="100"/>
        <c:noMultiLvlLbl val="0"/>
      </c:catAx>
      <c:valAx>
        <c:axId val="544811576"/>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1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[艺校目录1130.xlsx]Sheet3!$C$181:$C$187</c:f>
              <c:strCache>
                <c:ptCount val="7"/>
                <c:pt idx="0">
                  <c:v>滁州分校</c:v>
                </c:pt>
                <c:pt idx="1">
                  <c:v>美术系</c:v>
                </c:pt>
                <c:pt idx="2">
                  <c:v>综艺系</c:v>
                </c:pt>
                <c:pt idx="3">
                  <c:v>戏剧系</c:v>
                </c:pt>
                <c:pt idx="4">
                  <c:v>舞蹈系</c:v>
                </c:pt>
                <c:pt idx="5">
                  <c:v>音乐系</c:v>
                </c:pt>
                <c:pt idx="6">
                  <c:v>戏曲系</c:v>
                </c:pt>
              </c:strCache>
            </c:strRef>
          </c:cat>
          <c:val>
            <c:numRef>
              <c:f>[艺校目录1130.xlsx]Sheet3!$D$181:$D$187</c:f>
              <c:numCache>
                <c:formatCode>0.00%</c:formatCode>
                <c:ptCount val="7"/>
                <c:pt idx="0">
                  <c:v>1</c:v>
                </c:pt>
                <c:pt idx="1">
                  <c:v>0.969</c:v>
                </c:pt>
                <c:pt idx="2">
                  <c:v>0.9672</c:v>
                </c:pt>
                <c:pt idx="3">
                  <c:v>0.9403</c:v>
                </c:pt>
                <c:pt idx="4">
                  <c:v>0.94</c:v>
                </c:pt>
                <c:pt idx="5">
                  <c:v>0.8868</c:v>
                </c:pt>
                <c:pt idx="6">
                  <c:v>0.8333</c:v>
                </c:pt>
              </c:numCache>
            </c:numRef>
          </c:val>
        </c:ser>
        <c:dLbls>
          <c:showLegendKey val="0"/>
          <c:showVal val="1"/>
          <c:showCatName val="0"/>
          <c:showSerName val="0"/>
          <c:showPercent val="0"/>
          <c:showBubbleSize val="0"/>
        </c:dLbls>
        <c:gapWidth val="97"/>
        <c:overlap val="-27"/>
        <c:axId val="456091024"/>
        <c:axId val="456091352"/>
      </c:barChart>
      <c:catAx>
        <c:axId val="45609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091352"/>
        <c:crosses val="autoZero"/>
        <c:auto val="1"/>
        <c:lblAlgn val="ctr"/>
        <c:lblOffset val="100"/>
        <c:noMultiLvlLbl val="0"/>
      </c:catAx>
      <c:valAx>
        <c:axId val="456091352"/>
        <c:scaling>
          <c:orientation val="minMax"/>
          <c:min val="0.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09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[艺校目录1130.xlsx]Sheet4!$E$11</c:f>
              <c:strCache>
                <c:ptCount val="1"/>
                <c:pt idx="0">
                  <c:v>未就业率</c:v>
                </c:pt>
              </c:strCache>
            </c:strRef>
          </c:tx>
          <c:spPr>
            <a:solidFill>
              <a:schemeClr val="tx2">
                <a:lumMod val="60000"/>
                <a:lumOff val="40000"/>
              </a:schemeClr>
            </a:solidFill>
            <a:ln>
              <a:noFill/>
            </a:ln>
            <a:effectLst/>
            <a:sp3d/>
          </c:spPr>
          <c:invertIfNegative val="0"/>
          <c:dPt>
            <c:idx val="1"/>
            <c:invertIfNegative val="0"/>
            <c:bubble3D val="0"/>
            <c:spPr>
              <a:solidFill>
                <a:schemeClr val="accent2"/>
              </a:solidFill>
              <a:ln>
                <a:noFill/>
              </a:ln>
              <a:effectLst/>
              <a:sp3d/>
            </c:spPr>
          </c:dPt>
          <c:dPt>
            <c:idx val="2"/>
            <c:invertIfNegative val="0"/>
            <c:bubble3D val="0"/>
            <c:spPr>
              <a:solidFill>
                <a:schemeClr val="accent4">
                  <a:lumMod val="60000"/>
                  <a:lumOff val="40000"/>
                </a:schemeClr>
              </a:solidFill>
              <a:ln>
                <a:noFill/>
              </a:ln>
              <a:effectLst/>
              <a:sp3d/>
            </c:spPr>
          </c:dPt>
          <c:dLbls>
            <c:dLbl>
              <c:idx val="0"/>
              <c:layout>
                <c:manualLayout>
                  <c:x val="0.00833333333333333"/>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2222222222222"/>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7777777777777"/>
                  <c:y val="-0.027777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[艺校目录1130.xlsx]Sheet4!$D$12:$D$14</c:f>
              <c:strCache>
                <c:ptCount val="3"/>
                <c:pt idx="0">
                  <c:v>男</c:v>
                </c:pt>
                <c:pt idx="1">
                  <c:v>女</c:v>
                </c:pt>
                <c:pt idx="2">
                  <c:v>合计</c:v>
                </c:pt>
              </c:strCache>
            </c:strRef>
          </c:cat>
          <c:val>
            <c:numRef>
              <c:f>[艺校目录1130.xlsx]Sheet4!$E$12:$E$14</c:f>
              <c:numCache>
                <c:formatCode>0.00%</c:formatCode>
                <c:ptCount val="3"/>
                <c:pt idx="0">
                  <c:v>0.0379</c:v>
                </c:pt>
                <c:pt idx="1">
                  <c:v>0.0677</c:v>
                </c:pt>
                <c:pt idx="2">
                  <c:v>0.0568</c:v>
                </c:pt>
              </c:numCache>
            </c:numRef>
          </c:val>
        </c:ser>
        <c:dLbls>
          <c:showLegendKey val="0"/>
          <c:showVal val="0"/>
          <c:showCatName val="0"/>
          <c:showSerName val="0"/>
          <c:showPercent val="0"/>
          <c:showBubbleSize val="0"/>
        </c:dLbls>
        <c:gapWidth val="150"/>
        <c:axId val="550595536"/>
        <c:axId val="550595864"/>
      </c:barChart>
      <c:catAx>
        <c:axId val="550595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595864"/>
        <c:crosses val="autoZero"/>
        <c:auto val="1"/>
        <c:lblAlgn val="ctr"/>
        <c:lblOffset val="100"/>
        <c:noMultiLvlLbl val="0"/>
      </c:catAx>
      <c:valAx>
        <c:axId val="550595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59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[艺校目录1130.xlsx]Sheet4!$G$38</c:f>
              <c:strCache>
                <c:ptCount val="1"/>
                <c:pt idx="0">
                  <c:v>未就业率</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[艺校目录1130.xlsx]Sheet4!$F$39:$F$45</c:f>
              <c:strCache>
                <c:ptCount val="7"/>
                <c:pt idx="0">
                  <c:v>戏曲系</c:v>
                </c:pt>
                <c:pt idx="1">
                  <c:v>音乐系</c:v>
                </c:pt>
                <c:pt idx="2">
                  <c:v>舞蹈系</c:v>
                </c:pt>
                <c:pt idx="3">
                  <c:v>戏剧系</c:v>
                </c:pt>
                <c:pt idx="4">
                  <c:v>综艺系</c:v>
                </c:pt>
                <c:pt idx="5">
                  <c:v>美术系</c:v>
                </c:pt>
                <c:pt idx="6">
                  <c:v>滁州分校</c:v>
                </c:pt>
              </c:strCache>
            </c:strRef>
          </c:cat>
          <c:val>
            <c:numRef>
              <c:f>[艺校目录1130.xlsx]Sheet4!$G$39:$G$45</c:f>
              <c:numCache>
                <c:formatCode>0.00%</c:formatCode>
                <c:ptCount val="7"/>
                <c:pt idx="0">
                  <c:v>0.1667</c:v>
                </c:pt>
                <c:pt idx="1">
                  <c:v>0.1132</c:v>
                </c:pt>
                <c:pt idx="2">
                  <c:v>0.06</c:v>
                </c:pt>
                <c:pt idx="3">
                  <c:v>0.0597</c:v>
                </c:pt>
                <c:pt idx="4">
                  <c:v>0.0328</c:v>
                </c:pt>
                <c:pt idx="5">
                  <c:v>0.031</c:v>
                </c:pt>
                <c:pt idx="6">
                  <c:v>0</c:v>
                </c:pt>
              </c:numCache>
            </c:numRef>
          </c:val>
        </c:ser>
        <c:dLbls>
          <c:showLegendKey val="0"/>
          <c:showVal val="0"/>
          <c:showCatName val="0"/>
          <c:showSerName val="0"/>
          <c:showPercent val="0"/>
          <c:showBubbleSize val="0"/>
        </c:dLbls>
        <c:gapWidth val="138"/>
        <c:overlap val="-27"/>
        <c:axId val="441821800"/>
        <c:axId val="441820488"/>
      </c:barChart>
      <c:catAx>
        <c:axId val="44182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820488"/>
        <c:crosses val="autoZero"/>
        <c:auto val="1"/>
        <c:lblAlgn val="ctr"/>
        <c:lblOffset val="100"/>
        <c:noMultiLvlLbl val="0"/>
      </c:catAx>
      <c:valAx>
        <c:axId val="441820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821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withinLinear" id="15">
  <a:schemeClr val="accent2"/>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97303-E63E-489E-89D5-53E781CEBA5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Words>
  <Characters>1953</Characters>
  <Lines>16</Lines>
  <Paragraphs>4</Paragraphs>
  <ScaleCrop>false</ScaleCrop>
  <LinksUpToDate>false</LinksUpToDate>
  <CharactersWithSpaces>2291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2017-11-07T03:13:00Z</dcterms:created>
  <dc:creator>Administrator</dc:creator>
  <cp:lastModifiedBy>Administrator</cp:lastModifiedBy>
  <dcterms:modified xsi:type="dcterms:W3CDTF">2017-12-25T21:46:42Z</dcterms:modified>
  <cp:revision>518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