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rPr>
      </w:pPr>
      <w:r>
        <w:rPr>
          <w:rFonts w:hint="eastAsia" w:ascii="宋体" w:hAnsi="宋体"/>
          <w:szCs w:val="36"/>
        </w:rPr>
        <w:t>采购需求</w:t>
      </w:r>
    </w:p>
    <w:p>
      <w:pPr>
        <w:spacing w:before="96" w:beforeLines="40" w:after="96" w:afterLines="40" w:line="400" w:lineRule="exact"/>
        <w:ind w:firstLine="420" w:firstLineChars="200"/>
        <w:jc w:val="left"/>
        <w:rPr>
          <w:rFonts w:hint="eastAsia" w:ascii="宋体" w:hAnsi="宋体"/>
          <w:szCs w:val="21"/>
        </w:rPr>
      </w:pPr>
      <w:bookmarkStart w:id="0" w:name="_Hlt509716920"/>
      <w:bookmarkEnd w:id="0"/>
      <w:r>
        <w:rPr>
          <w:rFonts w:hint="eastAsia" w:ascii="宋体" w:hAnsi="宋体"/>
          <w:szCs w:val="21"/>
        </w:rPr>
        <w:t>前注：</w:t>
      </w:r>
    </w:p>
    <w:p>
      <w:pPr>
        <w:numPr>
          <w:ilvl w:val="0"/>
          <w:numId w:val="1"/>
        </w:num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本采购需求中提出的技术方案仅为参考，如无明确限制，投标供应商可以进行优化，提供满足采购人实际需要的更优（或者性能实质上不低于的）技术方案或者设备配置，且此方案或配置须经评标委员会评审认可；</w:t>
      </w:r>
    </w:p>
    <w:p>
      <w:pPr>
        <w:numPr>
          <w:ilvl w:val="0"/>
          <w:numId w:val="1"/>
        </w:num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3、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lang w:val="en-US" w:eastAsia="zh-CN"/>
        </w:rPr>
        <w:t>5</w:t>
      </w:r>
      <w:r>
        <w:rPr>
          <w:rFonts w:hint="eastAsia" w:ascii="宋体" w:hAnsi="宋体"/>
          <w:szCs w:val="21"/>
        </w:rPr>
        <w:t>、在采购活动开始前没有获准采购进口产品而开展采购活动的，视同为拒绝采购进口产品；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lang w:val="en-US" w:eastAsia="zh-CN"/>
        </w:rPr>
        <w:t>7</w:t>
      </w:r>
      <w:r>
        <w:rPr>
          <w:rFonts w:hint="eastAsia" w:ascii="宋体" w:hAnsi="宋体"/>
          <w:szCs w:val="21"/>
        </w:rPr>
        <w:t>、下列采购需求中：标注▲的产品，投标供应商在投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lang w:val="en-US" w:eastAsia="zh-CN"/>
        </w:rPr>
        <w:t>8</w:t>
      </w:r>
      <w:r>
        <w:rPr>
          <w:rFonts w:hint="eastAsia" w:ascii="宋体" w:hAnsi="宋体"/>
          <w:szCs w:val="21"/>
        </w:rPr>
        <w:t>、单一产品采购项目中，提供同一品牌产品的不同供应商参加同一包项下投标的，以一家供应商计算有效供应商数量。非单一产品采购项目中，提供标注▲的产品（即：核心产品）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lang w:val="en-US" w:eastAsia="zh-CN"/>
        </w:rPr>
        <w:t>9</w:t>
      </w:r>
      <w:r>
        <w:rPr>
          <w:rFonts w:hint="eastAsia" w:ascii="宋体" w:hAnsi="宋体"/>
          <w:szCs w:val="21"/>
        </w:rPr>
        <w:t>、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adjustRightInd w:val="0"/>
        <w:snapToGrid w:val="0"/>
        <w:spacing w:before="96" w:beforeLines="40" w:after="96" w:afterLines="40" w:line="400" w:lineRule="exact"/>
        <w:ind w:firstLine="420" w:firstLineChars="200"/>
        <w:jc w:val="left"/>
        <w:rPr>
          <w:rFonts w:hint="eastAsia" w:ascii="宋体" w:hAnsi="宋体"/>
          <w:szCs w:val="21"/>
        </w:rPr>
      </w:pPr>
    </w:p>
    <w:p>
      <w:pPr>
        <w:adjustRightInd w:val="0"/>
        <w:snapToGrid w:val="0"/>
        <w:spacing w:before="96" w:beforeLines="40" w:after="96" w:afterLines="40" w:line="400" w:lineRule="exact"/>
        <w:ind w:firstLine="420" w:firstLineChars="200"/>
        <w:jc w:val="left"/>
        <w:rPr>
          <w:rFonts w:hint="eastAsia" w:ascii="宋体" w:hAnsi="宋体"/>
          <w:szCs w:val="21"/>
        </w:rPr>
      </w:pPr>
    </w:p>
    <w:p>
      <w:pPr>
        <w:jc w:val="left"/>
        <w:outlineLvl w:val="1"/>
        <w:rPr>
          <w:rFonts w:hint="eastAsia" w:ascii="黑体" w:hAnsi="黑体" w:eastAsia="黑体"/>
          <w:sz w:val="28"/>
        </w:rPr>
      </w:pPr>
      <w:bookmarkStart w:id="1" w:name="_Toc24954"/>
      <w:bookmarkStart w:id="2" w:name="_Toc21770"/>
      <w:bookmarkStart w:id="3" w:name="_Toc13639"/>
      <w:r>
        <w:rPr>
          <w:rFonts w:hint="eastAsia" w:ascii="黑体" w:hAnsi="黑体" w:eastAsia="黑体"/>
          <w:sz w:val="28"/>
        </w:rPr>
        <w:t>一、采购需求前附表</w:t>
      </w:r>
      <w:bookmarkEnd w:id="1"/>
      <w:bookmarkEnd w:id="2"/>
      <w:bookmarkEnd w:id="3"/>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96" w:beforeLines="40" w:after="96" w:afterLines="40" w:line="400" w:lineRule="exact"/>
              <w:jc w:val="center"/>
              <w:rPr>
                <w:rFonts w:hint="eastAsia" w:ascii="宋体" w:hAnsi="宋体"/>
                <w:b/>
                <w:szCs w:val="21"/>
              </w:rPr>
            </w:pPr>
            <w:r>
              <w:rPr>
                <w:rFonts w:hint="eastAsia" w:ascii="宋体" w:hAnsi="宋体"/>
                <w:b/>
                <w:szCs w:val="21"/>
              </w:rPr>
              <w:t>序号</w:t>
            </w:r>
          </w:p>
        </w:tc>
        <w:tc>
          <w:tcPr>
            <w:tcW w:w="2100" w:type="dxa"/>
            <w:noWrap w:val="0"/>
            <w:vAlign w:val="top"/>
          </w:tcPr>
          <w:p>
            <w:pPr>
              <w:spacing w:before="96" w:beforeLines="40" w:after="96" w:afterLines="40" w:line="400" w:lineRule="exact"/>
              <w:jc w:val="center"/>
              <w:rPr>
                <w:rFonts w:hint="eastAsia"/>
                <w:b/>
                <w:szCs w:val="21"/>
              </w:rPr>
            </w:pPr>
            <w:r>
              <w:rPr>
                <w:rFonts w:hint="eastAsia" w:ascii="宋体" w:hAnsi="宋体"/>
                <w:b/>
                <w:szCs w:val="21"/>
              </w:rPr>
              <w:t>条款名称</w:t>
            </w:r>
          </w:p>
        </w:tc>
        <w:tc>
          <w:tcPr>
            <w:tcW w:w="5985" w:type="dxa"/>
            <w:noWrap w:val="0"/>
            <w:vAlign w:val="top"/>
          </w:tcPr>
          <w:p>
            <w:pPr>
              <w:spacing w:before="96" w:beforeLines="40" w:after="96" w:afterLines="40" w:line="400" w:lineRule="exact"/>
              <w:jc w:val="center"/>
              <w:rPr>
                <w:rFonts w:hint="eastAsia"/>
                <w:b/>
                <w:szCs w:val="21"/>
              </w:rPr>
            </w:pPr>
            <w:r>
              <w:rPr>
                <w:rFonts w:hint="eastAsia"/>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40" w:type="dxa"/>
            <w:noWrap w:val="0"/>
            <w:vAlign w:val="top"/>
          </w:tcPr>
          <w:p>
            <w:pPr>
              <w:spacing w:before="96" w:beforeLines="40" w:after="96" w:afterLines="40" w:line="400" w:lineRule="exact"/>
              <w:jc w:val="center"/>
              <w:rPr>
                <w:rFonts w:hint="eastAsia" w:ascii="宋体" w:hAnsi="宋体"/>
                <w:szCs w:val="21"/>
              </w:rPr>
            </w:pPr>
            <w:r>
              <w:rPr>
                <w:rFonts w:hint="eastAsia" w:ascii="宋体" w:hAnsi="宋体"/>
                <w:szCs w:val="21"/>
              </w:rPr>
              <w:t>1</w:t>
            </w:r>
          </w:p>
        </w:tc>
        <w:tc>
          <w:tcPr>
            <w:tcW w:w="2100" w:type="dxa"/>
            <w:noWrap w:val="0"/>
            <w:vAlign w:val="center"/>
          </w:tcPr>
          <w:p>
            <w:pPr>
              <w:spacing w:before="96" w:beforeLines="40" w:after="96" w:afterLines="40" w:line="400" w:lineRule="exact"/>
              <w:jc w:val="center"/>
              <w:rPr>
                <w:rFonts w:hint="eastAsia"/>
                <w:szCs w:val="21"/>
              </w:rPr>
            </w:pPr>
            <w:r>
              <w:rPr>
                <w:rFonts w:hint="eastAsia"/>
                <w:szCs w:val="21"/>
              </w:rPr>
              <w:t>付款方式</w:t>
            </w:r>
          </w:p>
        </w:tc>
        <w:tc>
          <w:tcPr>
            <w:tcW w:w="5985" w:type="dxa"/>
            <w:noWrap w:val="0"/>
            <w:vAlign w:val="top"/>
          </w:tcPr>
          <w:p>
            <w:pPr>
              <w:spacing w:before="96" w:beforeLines="40" w:after="96" w:afterLines="40" w:line="400" w:lineRule="exact"/>
              <w:rPr>
                <w:szCs w:val="21"/>
              </w:rPr>
            </w:pPr>
            <w:r>
              <w:rPr>
                <w:rFonts w:hint="eastAsia"/>
                <w:szCs w:val="21"/>
              </w:rPr>
              <w:t xml:space="preserve">详见投标供应商须知前附表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96" w:beforeLines="40" w:after="96" w:afterLines="40" w:line="400" w:lineRule="exact"/>
              <w:jc w:val="center"/>
              <w:rPr>
                <w:rFonts w:hint="eastAsia" w:ascii="宋体" w:hAnsi="宋体"/>
                <w:szCs w:val="21"/>
              </w:rPr>
            </w:pPr>
            <w:r>
              <w:rPr>
                <w:rFonts w:hint="eastAsia" w:ascii="宋体" w:hAnsi="宋体"/>
                <w:szCs w:val="21"/>
              </w:rPr>
              <w:t>2</w:t>
            </w:r>
          </w:p>
        </w:tc>
        <w:tc>
          <w:tcPr>
            <w:tcW w:w="2100" w:type="dxa"/>
            <w:noWrap w:val="0"/>
            <w:vAlign w:val="center"/>
          </w:tcPr>
          <w:p>
            <w:pPr>
              <w:spacing w:before="96" w:beforeLines="40" w:after="96" w:afterLines="40" w:line="400" w:lineRule="exact"/>
              <w:jc w:val="center"/>
              <w:rPr>
                <w:rFonts w:hint="eastAsia"/>
                <w:szCs w:val="21"/>
              </w:rPr>
            </w:pPr>
            <w:r>
              <w:rPr>
                <w:rFonts w:hint="eastAsia"/>
                <w:szCs w:val="21"/>
              </w:rPr>
              <w:t>交货期</w:t>
            </w:r>
          </w:p>
        </w:tc>
        <w:tc>
          <w:tcPr>
            <w:tcW w:w="5985" w:type="dxa"/>
            <w:noWrap w:val="0"/>
            <w:vAlign w:val="top"/>
          </w:tcPr>
          <w:p>
            <w:pPr>
              <w:spacing w:before="96" w:beforeLines="40" w:after="96" w:afterLines="40" w:line="400" w:lineRule="exact"/>
              <w:rPr>
                <w:rFonts w:hint="eastAsia"/>
                <w:szCs w:val="21"/>
              </w:rPr>
            </w:pPr>
            <w:r>
              <w:rPr>
                <w:rFonts w:hint="eastAsia"/>
                <w:szCs w:val="21"/>
              </w:rPr>
              <w:t xml:space="preserve">详见投标供应商须知前附表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0" w:type="dxa"/>
            <w:noWrap w:val="0"/>
            <w:vAlign w:val="top"/>
          </w:tcPr>
          <w:p>
            <w:pPr>
              <w:spacing w:before="96" w:beforeLines="40" w:after="96" w:afterLines="40" w:line="400" w:lineRule="exact"/>
              <w:jc w:val="center"/>
              <w:rPr>
                <w:rFonts w:hint="eastAsia" w:ascii="宋体" w:hAnsi="宋体"/>
                <w:szCs w:val="21"/>
              </w:rPr>
            </w:pPr>
            <w:r>
              <w:rPr>
                <w:rFonts w:hint="eastAsia" w:ascii="宋体" w:hAnsi="宋体"/>
                <w:szCs w:val="21"/>
              </w:rPr>
              <w:t>3</w:t>
            </w:r>
          </w:p>
        </w:tc>
        <w:tc>
          <w:tcPr>
            <w:tcW w:w="2100" w:type="dxa"/>
            <w:noWrap w:val="0"/>
            <w:vAlign w:val="center"/>
          </w:tcPr>
          <w:p>
            <w:pPr>
              <w:spacing w:before="96" w:beforeLines="40" w:after="96" w:afterLines="40" w:line="400" w:lineRule="exact"/>
              <w:jc w:val="center"/>
              <w:rPr>
                <w:rFonts w:hint="eastAsia"/>
                <w:szCs w:val="21"/>
              </w:rPr>
            </w:pPr>
            <w:r>
              <w:rPr>
                <w:rFonts w:hint="eastAsia"/>
                <w:szCs w:val="21"/>
              </w:rPr>
              <w:t>质保期</w:t>
            </w:r>
          </w:p>
        </w:tc>
        <w:tc>
          <w:tcPr>
            <w:tcW w:w="5985" w:type="dxa"/>
            <w:noWrap w:val="0"/>
            <w:vAlign w:val="top"/>
          </w:tcPr>
          <w:p>
            <w:pPr>
              <w:spacing w:before="96" w:beforeLines="40" w:after="96" w:afterLines="40" w:line="400" w:lineRule="exact"/>
              <w:rPr>
                <w:rFonts w:hint="eastAsia"/>
                <w:szCs w:val="21"/>
              </w:rPr>
            </w:pPr>
            <w:r>
              <w:rPr>
                <w:rFonts w:hint="eastAsia"/>
                <w:szCs w:val="21"/>
              </w:rPr>
              <w:t xml:space="preserve">详见投标供应商须知前附表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96" w:beforeLines="40" w:after="96" w:afterLines="40"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2100" w:type="dxa"/>
            <w:noWrap w:val="0"/>
            <w:vAlign w:val="center"/>
          </w:tcPr>
          <w:p>
            <w:pPr>
              <w:spacing w:before="96" w:beforeLines="40" w:after="96" w:afterLines="40" w:line="400" w:lineRule="exact"/>
              <w:jc w:val="center"/>
              <w:rPr>
                <w:rFonts w:hint="eastAsia"/>
                <w:color w:val="auto"/>
                <w:szCs w:val="21"/>
                <w:highlight w:val="none"/>
              </w:rPr>
            </w:pPr>
            <w:r>
              <w:rPr>
                <w:rFonts w:hint="eastAsia"/>
                <w:color w:val="auto"/>
                <w:szCs w:val="21"/>
                <w:highlight w:val="none"/>
              </w:rPr>
              <w:t>本项目采购标的所属行业</w:t>
            </w:r>
          </w:p>
        </w:tc>
        <w:tc>
          <w:tcPr>
            <w:tcW w:w="5985" w:type="dxa"/>
            <w:noWrap w:val="0"/>
            <w:vAlign w:val="top"/>
          </w:tcPr>
          <w:p>
            <w:pPr>
              <w:spacing w:before="96" w:beforeLines="40" w:after="96" w:afterLines="40" w:line="400" w:lineRule="exact"/>
              <w:rPr>
                <w:rFonts w:hint="eastAsia"/>
                <w:color w:val="auto"/>
                <w:szCs w:val="21"/>
                <w:highlight w:val="none"/>
              </w:rPr>
            </w:pPr>
            <w:r>
              <w:rPr>
                <w:rFonts w:hint="eastAsia"/>
                <w:color w:val="auto"/>
                <w:szCs w:val="21"/>
                <w:highlight w:val="none"/>
              </w:rPr>
              <w:t>工业</w:t>
            </w:r>
          </w:p>
        </w:tc>
      </w:tr>
    </w:tbl>
    <w:p>
      <w:pPr>
        <w:jc w:val="left"/>
        <w:rPr>
          <w:rFonts w:hint="eastAsia" w:ascii="黑体" w:hAnsi="黑体" w:eastAsia="黑体"/>
          <w:sz w:val="28"/>
        </w:rPr>
      </w:pPr>
    </w:p>
    <w:p>
      <w:pPr>
        <w:numPr>
          <w:ilvl w:val="0"/>
          <w:numId w:val="2"/>
        </w:numPr>
        <w:jc w:val="left"/>
        <w:outlineLvl w:val="1"/>
        <w:rPr>
          <w:rFonts w:hint="eastAsia" w:ascii="宋体" w:hAnsi="宋体" w:cs="宋体"/>
          <w:sz w:val="28"/>
        </w:rPr>
      </w:pPr>
      <w:bookmarkStart w:id="4" w:name="_Toc4134"/>
      <w:bookmarkStart w:id="5" w:name="_Toc20494"/>
      <w:bookmarkStart w:id="6" w:name="_Toc9345"/>
      <w:r>
        <w:rPr>
          <w:rFonts w:hint="eastAsia" w:ascii="黑体" w:hAnsi="黑体" w:eastAsia="黑体"/>
          <w:sz w:val="28"/>
        </w:rPr>
        <w:t>项目概况</w:t>
      </w:r>
      <w:r>
        <w:rPr>
          <w:rFonts w:hint="eastAsia" w:ascii="黑体" w:hAnsi="黑体" w:eastAsia="黑体"/>
          <w:sz w:val="28"/>
        </w:rPr>
        <w:br w:type="textWrapping"/>
      </w:r>
      <w:r>
        <w:rPr>
          <w:rFonts w:hint="eastAsia" w:ascii="黑体" w:hAnsi="黑体" w:eastAsia="黑体"/>
          <w:sz w:val="28"/>
        </w:rPr>
        <w:tab/>
      </w:r>
      <w:r>
        <w:rPr>
          <w:rFonts w:hint="eastAsia" w:ascii="宋体" w:hAnsi="宋体" w:eastAsia="宋体" w:cs="宋体"/>
          <w:sz w:val="24"/>
          <w:szCs w:val="24"/>
        </w:rPr>
        <w:t>安徽艺术职业学院对宣城路校区原有530间学生公寓智能计量模块（其中女生大专楼176块（一进一出），男生综合楼107块（一进一出），男生小红楼89块（一进一出），女生小白楼18块（一进一出92，一进两出26），美术楼40块（一进两出））；丹霞路校区原有720间学生公寓智能计量模块（其中A、B各120块，C、D楼各144块，行政楼192块）进行拆除。并利用原有配电线路、柜体、安装智能计量电表模块，将智能计量电表模块接入丹霞路校区智能控电系统(常电股份ISIMS系统)，在同一软件下对寝室的用电进行计量和安全控制。另丹霞路校区增设一台电控服务器，并将丹霞路校区和宣城路校区现有充费机器按照校方要求移机</w:t>
      </w:r>
      <w:r>
        <w:rPr>
          <w:rFonts w:hint="eastAsia" w:ascii="宋体" w:hAnsi="宋体" w:eastAsia="宋体" w:cs="宋体"/>
          <w:sz w:val="24"/>
          <w:szCs w:val="24"/>
          <w:lang w:eastAsia="zh-CN"/>
        </w:rPr>
        <w:t>到指定区域</w:t>
      </w:r>
      <w:r>
        <w:rPr>
          <w:rFonts w:hint="eastAsia" w:ascii="宋体" w:hAnsi="宋体" w:eastAsia="宋体" w:cs="宋体"/>
          <w:sz w:val="24"/>
          <w:szCs w:val="24"/>
        </w:rPr>
        <w:t>。</w:t>
      </w:r>
    </w:p>
    <w:p>
      <w:pPr>
        <w:jc w:val="left"/>
        <w:outlineLvl w:val="1"/>
        <w:rPr>
          <w:rFonts w:ascii="黑体" w:hAnsi="黑体" w:eastAsia="黑体"/>
          <w:sz w:val="28"/>
        </w:rPr>
      </w:pPr>
    </w:p>
    <w:p>
      <w:pPr>
        <w:jc w:val="left"/>
        <w:outlineLvl w:val="1"/>
        <w:rPr>
          <w:rFonts w:ascii="黑体" w:hAnsi="黑体" w:eastAsia="黑体"/>
          <w:sz w:val="28"/>
        </w:rPr>
      </w:pPr>
      <w:r>
        <w:rPr>
          <w:rFonts w:hint="eastAsia" w:ascii="黑体" w:hAnsi="黑体" w:eastAsia="黑体"/>
          <w:sz w:val="28"/>
        </w:rPr>
        <w:t>三、货物需求</w:t>
      </w:r>
      <w:bookmarkEnd w:id="4"/>
      <w:bookmarkEnd w:id="5"/>
      <w:bookmarkEnd w:id="6"/>
    </w:p>
    <w:p>
      <w:pPr>
        <w:spacing w:line="240" w:lineRule="auto"/>
        <w:jc w:val="left"/>
        <w:rPr>
          <w:rFonts w:hint="eastAsia" w:ascii="黑体" w:hAnsi="黑体" w:eastAsia="黑体"/>
          <w:sz w:val="28"/>
          <w:szCs w:val="28"/>
        </w:rPr>
      </w:pPr>
    </w:p>
    <w:p>
      <w:pPr>
        <w:spacing w:line="240" w:lineRule="auto"/>
        <w:jc w:val="left"/>
        <w:rPr>
          <w:rFonts w:hint="eastAsia" w:ascii="黑体" w:hAnsi="黑体" w:eastAsia="黑体"/>
          <w:sz w:val="24"/>
          <w:szCs w:val="24"/>
        </w:rPr>
      </w:pPr>
      <w:r>
        <w:rPr>
          <w:rFonts w:hint="eastAsia" w:ascii="黑体" w:hAnsi="黑体" w:eastAsia="黑体"/>
          <w:sz w:val="24"/>
          <w:szCs w:val="24"/>
        </w:rPr>
        <w:t>1、电控改造清单</w:t>
      </w:r>
    </w:p>
    <w:tbl>
      <w:tblPr>
        <w:tblStyle w:val="5"/>
        <w:tblpPr w:leftFromText="180" w:rightFromText="180" w:vertAnchor="text" w:horzAnchor="page" w:tblpX="1690" w:tblpY="333"/>
        <w:tblOverlap w:val="never"/>
        <w:tblW w:w="0" w:type="auto"/>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1"/>
        <w:gridCol w:w="4030"/>
        <w:gridCol w:w="1283"/>
        <w:gridCol w:w="2552"/>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1" w:hRule="atLeast"/>
        </w:trPr>
        <w:tc>
          <w:tcPr>
            <w:tcW w:w="751" w:type="dxa"/>
            <w:tcBorders>
              <w:bottom w:val="single" w:color="000000" w:sz="4" w:space="0"/>
              <w:right w:val="single" w:color="000000" w:sz="4" w:space="0"/>
            </w:tcBorders>
            <w:noWrap w:val="0"/>
            <w:vAlign w:val="top"/>
          </w:tcPr>
          <w:p>
            <w:pPr>
              <w:pStyle w:val="7"/>
              <w:spacing w:before="74"/>
              <w:ind w:left="105" w:right="105"/>
              <w:jc w:val="right"/>
              <w:rPr>
                <w:rFonts w:hint="eastAsia" w:ascii="宋体" w:hAnsi="宋体" w:eastAsia="宋体" w:cs="宋体"/>
                <w:spacing w:val="-4"/>
                <w:sz w:val="24"/>
              </w:rPr>
            </w:pPr>
            <w:r>
              <w:rPr>
                <w:rFonts w:hint="eastAsia" w:ascii="宋体" w:hAnsi="宋体" w:eastAsia="宋体" w:cs="宋体"/>
                <w:spacing w:val="-4"/>
                <w:sz w:val="24"/>
              </w:rPr>
              <w:t>序号</w:t>
            </w:r>
          </w:p>
        </w:tc>
        <w:tc>
          <w:tcPr>
            <w:tcW w:w="4030" w:type="dxa"/>
            <w:tcBorders>
              <w:left w:val="single" w:color="000000" w:sz="4" w:space="0"/>
              <w:bottom w:val="single" w:color="000000" w:sz="4" w:space="0"/>
              <w:right w:val="single" w:color="000000" w:sz="4" w:space="0"/>
            </w:tcBorders>
            <w:noWrap w:val="0"/>
            <w:vAlign w:val="top"/>
          </w:tcPr>
          <w:p>
            <w:pPr>
              <w:pStyle w:val="7"/>
              <w:spacing w:before="74"/>
              <w:ind w:left="483" w:right="481"/>
              <w:jc w:val="center"/>
              <w:rPr>
                <w:rFonts w:hint="eastAsia" w:ascii="宋体" w:hAnsi="宋体" w:eastAsia="宋体" w:cs="宋体"/>
                <w:spacing w:val="-4"/>
                <w:sz w:val="24"/>
              </w:rPr>
            </w:pPr>
            <w:r>
              <w:rPr>
                <w:rFonts w:hint="eastAsia" w:ascii="宋体" w:hAnsi="宋体" w:eastAsia="宋体" w:cs="宋体"/>
                <w:spacing w:val="-4"/>
                <w:sz w:val="24"/>
              </w:rPr>
              <w:t>名称</w:t>
            </w:r>
          </w:p>
        </w:tc>
        <w:tc>
          <w:tcPr>
            <w:tcW w:w="1283" w:type="dxa"/>
            <w:tcBorders>
              <w:left w:val="single" w:color="000000" w:sz="4" w:space="0"/>
              <w:bottom w:val="single" w:color="000000" w:sz="4" w:space="0"/>
              <w:right w:val="single" w:color="000000" w:sz="4" w:space="0"/>
            </w:tcBorders>
            <w:noWrap w:val="0"/>
            <w:vAlign w:val="top"/>
          </w:tcPr>
          <w:p>
            <w:pPr>
              <w:pStyle w:val="7"/>
              <w:spacing w:before="74"/>
              <w:ind w:right="652"/>
              <w:jc w:val="right"/>
              <w:rPr>
                <w:rFonts w:hint="eastAsia" w:ascii="宋体" w:hAnsi="宋体" w:eastAsia="宋体" w:cs="宋体"/>
                <w:spacing w:val="-4"/>
                <w:sz w:val="24"/>
              </w:rPr>
            </w:pPr>
            <w:r>
              <w:rPr>
                <w:rFonts w:hint="eastAsia" w:ascii="宋体" w:hAnsi="宋体" w:eastAsia="宋体" w:cs="宋体"/>
                <w:spacing w:val="-4"/>
                <w:sz w:val="24"/>
                <w:lang w:val="en-US"/>
              </w:rPr>
              <w:t xml:space="preserve"> </w:t>
            </w:r>
            <w:r>
              <w:rPr>
                <w:rFonts w:hint="eastAsia" w:ascii="宋体" w:hAnsi="宋体" w:eastAsia="宋体" w:cs="宋体"/>
                <w:spacing w:val="-4"/>
                <w:sz w:val="24"/>
              </w:rPr>
              <w:t>单位</w:t>
            </w:r>
          </w:p>
        </w:tc>
        <w:tc>
          <w:tcPr>
            <w:tcW w:w="2552" w:type="dxa"/>
            <w:tcBorders>
              <w:left w:val="single" w:color="000000" w:sz="4" w:space="0"/>
              <w:bottom w:val="single" w:color="000000" w:sz="4" w:space="0"/>
            </w:tcBorders>
            <w:noWrap w:val="0"/>
            <w:vAlign w:val="top"/>
          </w:tcPr>
          <w:p>
            <w:pPr>
              <w:pStyle w:val="7"/>
              <w:spacing w:before="74"/>
              <w:ind w:left="967" w:right="956"/>
              <w:jc w:val="right"/>
              <w:rPr>
                <w:rFonts w:hint="eastAsia" w:ascii="宋体" w:hAnsi="宋体" w:eastAsia="宋体" w:cs="宋体"/>
                <w:spacing w:val="-4"/>
                <w:sz w:val="24"/>
              </w:rPr>
            </w:pPr>
            <w:r>
              <w:rPr>
                <w:rFonts w:hint="eastAsia" w:ascii="宋体" w:hAnsi="宋体" w:eastAsia="宋体" w:cs="宋体"/>
                <w:spacing w:val="-4"/>
                <w:sz w:val="24"/>
              </w:rPr>
              <w:t>数量</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3" w:hRule="atLeast"/>
        </w:trPr>
        <w:tc>
          <w:tcPr>
            <w:tcW w:w="751" w:type="dxa"/>
            <w:tcBorders>
              <w:top w:val="single" w:color="000000" w:sz="4" w:space="0"/>
              <w:bottom w:val="single" w:color="000000" w:sz="4" w:space="0"/>
              <w:right w:val="single" w:color="000000" w:sz="4" w:space="0"/>
            </w:tcBorders>
            <w:noWrap w:val="0"/>
            <w:vAlign w:val="top"/>
          </w:tcPr>
          <w:p>
            <w:pPr>
              <w:pStyle w:val="7"/>
              <w:spacing w:before="57" w:line="436" w:lineRule="exact"/>
              <w:ind w:right="3"/>
              <w:jc w:val="center"/>
              <w:rPr>
                <w:rFonts w:hint="eastAsia" w:ascii="宋体" w:hAnsi="宋体" w:eastAsia="宋体" w:cs="宋体"/>
                <w:spacing w:val="-4"/>
                <w:sz w:val="24"/>
              </w:rPr>
            </w:pPr>
            <w:r>
              <w:rPr>
                <w:rFonts w:hint="eastAsia" w:ascii="宋体" w:hAnsi="宋体" w:eastAsia="宋体" w:cs="宋体"/>
                <w:spacing w:val="-4"/>
                <w:sz w:val="24"/>
              </w:rPr>
              <w:t>1</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7" w:line="436" w:lineRule="exact"/>
              <w:ind w:left="483" w:right="481"/>
              <w:jc w:val="center"/>
              <w:rPr>
                <w:rFonts w:hint="eastAsia" w:ascii="宋体" w:hAnsi="宋体" w:eastAsia="宋体" w:cs="宋体"/>
                <w:spacing w:val="-4"/>
                <w:sz w:val="24"/>
                <w:lang w:val="en-US"/>
              </w:rPr>
            </w:pPr>
            <w:r>
              <w:rPr>
                <w:rFonts w:hint="eastAsia" w:ascii="宋体" w:hAnsi="宋体" w:eastAsia="宋体" w:cs="宋体"/>
                <w:spacing w:val="-4"/>
                <w:sz w:val="24"/>
              </w:rPr>
              <w:t>智能模块（一进一出）</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7" w:line="436" w:lineRule="exact"/>
              <w:ind w:left="9"/>
              <w:jc w:val="center"/>
              <w:rPr>
                <w:rFonts w:hint="eastAsia" w:ascii="宋体" w:hAnsi="宋体" w:eastAsia="宋体" w:cs="宋体"/>
                <w:spacing w:val="-4"/>
                <w:sz w:val="24"/>
              </w:rPr>
            </w:pPr>
            <w:r>
              <w:rPr>
                <w:rFonts w:hint="eastAsia" w:ascii="宋体" w:hAnsi="宋体" w:eastAsia="宋体" w:cs="宋体"/>
                <w:spacing w:val="-4"/>
                <w:sz w:val="24"/>
              </w:rPr>
              <w:t>块</w:t>
            </w:r>
          </w:p>
        </w:tc>
        <w:tc>
          <w:tcPr>
            <w:tcW w:w="2552" w:type="dxa"/>
            <w:tcBorders>
              <w:top w:val="single" w:color="000000" w:sz="4" w:space="0"/>
              <w:left w:val="single" w:color="000000" w:sz="4" w:space="0"/>
              <w:bottom w:val="single" w:color="000000" w:sz="4" w:space="0"/>
            </w:tcBorders>
            <w:noWrap w:val="0"/>
            <w:vAlign w:val="top"/>
          </w:tcPr>
          <w:p>
            <w:pPr>
              <w:pStyle w:val="7"/>
              <w:spacing w:before="57" w:line="436" w:lineRule="exact"/>
              <w:ind w:left="968" w:right="956"/>
              <w:jc w:val="center"/>
              <w:rPr>
                <w:rFonts w:hint="eastAsia" w:ascii="宋体" w:hAnsi="宋体" w:eastAsia="宋体" w:cs="宋体"/>
                <w:spacing w:val="-4"/>
                <w:sz w:val="24"/>
                <w:lang w:val="en-US"/>
              </w:rPr>
            </w:pPr>
            <w:r>
              <w:rPr>
                <w:rFonts w:hint="eastAsia" w:ascii="宋体" w:hAnsi="宋体" w:eastAsia="宋体" w:cs="宋体"/>
                <w:spacing w:val="-4"/>
                <w:sz w:val="24"/>
                <w:lang w:val="en-US"/>
              </w:rPr>
              <w:t>464</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3" w:hRule="atLeast"/>
        </w:trPr>
        <w:tc>
          <w:tcPr>
            <w:tcW w:w="751" w:type="dxa"/>
            <w:tcBorders>
              <w:top w:val="single" w:color="000000" w:sz="4" w:space="0"/>
              <w:bottom w:val="single" w:color="000000" w:sz="4" w:space="0"/>
              <w:right w:val="single" w:color="000000" w:sz="4" w:space="0"/>
            </w:tcBorders>
            <w:noWrap w:val="0"/>
            <w:vAlign w:val="top"/>
          </w:tcPr>
          <w:p>
            <w:pPr>
              <w:pStyle w:val="7"/>
              <w:spacing w:before="57" w:line="436" w:lineRule="exact"/>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2</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7" w:line="436" w:lineRule="exact"/>
              <w:ind w:left="483" w:right="481"/>
              <w:jc w:val="center"/>
              <w:rPr>
                <w:rFonts w:hint="eastAsia" w:ascii="宋体" w:hAnsi="宋体" w:eastAsia="宋体" w:cs="宋体"/>
                <w:spacing w:val="-4"/>
                <w:sz w:val="24"/>
              </w:rPr>
            </w:pPr>
            <w:r>
              <w:rPr>
                <w:rFonts w:hint="eastAsia" w:ascii="宋体" w:hAnsi="宋体" w:eastAsia="宋体" w:cs="宋体"/>
                <w:spacing w:val="-4"/>
                <w:sz w:val="24"/>
              </w:rPr>
              <w:t>智能模块（一进两出）</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7" w:line="436" w:lineRule="exact"/>
              <w:ind w:left="9"/>
              <w:jc w:val="center"/>
              <w:rPr>
                <w:rFonts w:hint="eastAsia" w:ascii="宋体" w:hAnsi="宋体" w:eastAsia="宋体" w:cs="宋体"/>
                <w:spacing w:val="-4"/>
                <w:sz w:val="24"/>
              </w:rPr>
            </w:pPr>
            <w:r>
              <w:rPr>
                <w:rFonts w:hint="eastAsia" w:ascii="宋体" w:hAnsi="宋体" w:eastAsia="宋体" w:cs="宋体"/>
                <w:spacing w:val="-4"/>
                <w:sz w:val="24"/>
              </w:rPr>
              <w:t>块</w:t>
            </w:r>
          </w:p>
        </w:tc>
        <w:tc>
          <w:tcPr>
            <w:tcW w:w="2552" w:type="dxa"/>
            <w:tcBorders>
              <w:top w:val="single" w:color="000000" w:sz="4" w:space="0"/>
              <w:left w:val="single" w:color="000000" w:sz="4" w:space="0"/>
              <w:bottom w:val="single" w:color="000000" w:sz="4" w:space="0"/>
            </w:tcBorders>
            <w:noWrap w:val="0"/>
            <w:vAlign w:val="top"/>
          </w:tcPr>
          <w:p>
            <w:pPr>
              <w:pStyle w:val="7"/>
              <w:spacing w:before="57" w:line="436" w:lineRule="exact"/>
              <w:ind w:left="968" w:right="956"/>
              <w:jc w:val="center"/>
              <w:rPr>
                <w:rFonts w:hint="eastAsia" w:ascii="宋体" w:hAnsi="宋体" w:eastAsia="宋体" w:cs="宋体"/>
                <w:spacing w:val="-4"/>
                <w:sz w:val="24"/>
                <w:lang w:val="en-US"/>
              </w:rPr>
            </w:pPr>
            <w:r>
              <w:rPr>
                <w:rFonts w:hint="eastAsia" w:ascii="宋体" w:hAnsi="宋体" w:eastAsia="宋体" w:cs="宋体"/>
                <w:spacing w:val="-4"/>
                <w:sz w:val="24"/>
                <w:lang w:val="en-US"/>
              </w:rPr>
              <w:t>66</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3" w:hRule="atLeast"/>
        </w:trPr>
        <w:tc>
          <w:tcPr>
            <w:tcW w:w="751" w:type="dxa"/>
            <w:tcBorders>
              <w:top w:val="single" w:color="000000" w:sz="4" w:space="0"/>
              <w:bottom w:val="single" w:color="000000" w:sz="4" w:space="0"/>
              <w:right w:val="single" w:color="000000" w:sz="4" w:space="0"/>
            </w:tcBorders>
            <w:noWrap w:val="0"/>
            <w:vAlign w:val="top"/>
          </w:tcPr>
          <w:p>
            <w:pPr>
              <w:pStyle w:val="7"/>
              <w:spacing w:before="57" w:line="436" w:lineRule="exact"/>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3</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7" w:line="436" w:lineRule="exact"/>
              <w:ind w:left="483" w:right="481"/>
              <w:jc w:val="center"/>
              <w:rPr>
                <w:rFonts w:hint="eastAsia" w:ascii="宋体" w:hAnsi="宋体" w:eastAsia="宋体" w:cs="宋体"/>
                <w:spacing w:val="-4"/>
                <w:sz w:val="24"/>
              </w:rPr>
            </w:pPr>
            <w:r>
              <w:rPr>
                <w:rFonts w:hint="eastAsia" w:ascii="宋体" w:hAnsi="宋体" w:eastAsia="宋体" w:cs="宋体"/>
                <w:spacing w:val="-4"/>
                <w:sz w:val="24"/>
              </w:rPr>
              <w:t>智能导轨模块</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57" w:line="436" w:lineRule="exact"/>
              <w:ind w:left="9"/>
              <w:jc w:val="center"/>
              <w:rPr>
                <w:rFonts w:hint="eastAsia" w:ascii="宋体" w:hAnsi="宋体" w:eastAsia="宋体" w:cs="宋体"/>
                <w:spacing w:val="-4"/>
                <w:sz w:val="24"/>
              </w:rPr>
            </w:pPr>
            <w:r>
              <w:rPr>
                <w:rFonts w:hint="eastAsia" w:ascii="宋体" w:hAnsi="宋体" w:eastAsia="宋体" w:cs="宋体"/>
                <w:spacing w:val="-4"/>
                <w:sz w:val="24"/>
              </w:rPr>
              <w:t>块</w:t>
            </w:r>
          </w:p>
        </w:tc>
        <w:tc>
          <w:tcPr>
            <w:tcW w:w="2552" w:type="dxa"/>
            <w:tcBorders>
              <w:top w:val="single" w:color="000000" w:sz="4" w:space="0"/>
              <w:left w:val="single" w:color="000000" w:sz="4" w:space="0"/>
              <w:bottom w:val="single" w:color="000000" w:sz="4" w:space="0"/>
            </w:tcBorders>
            <w:noWrap w:val="0"/>
            <w:vAlign w:val="top"/>
          </w:tcPr>
          <w:p>
            <w:pPr>
              <w:pStyle w:val="7"/>
              <w:spacing w:before="57" w:line="436" w:lineRule="exact"/>
              <w:ind w:left="968" w:right="956"/>
              <w:jc w:val="center"/>
              <w:rPr>
                <w:rFonts w:hint="eastAsia" w:ascii="宋体" w:hAnsi="宋体" w:eastAsia="宋体" w:cs="宋体"/>
                <w:spacing w:val="-4"/>
                <w:sz w:val="24"/>
                <w:lang w:val="en-US"/>
              </w:rPr>
            </w:pPr>
            <w:r>
              <w:rPr>
                <w:rFonts w:hint="eastAsia" w:ascii="宋体" w:hAnsi="宋体" w:eastAsia="宋体" w:cs="宋体"/>
                <w:spacing w:val="-4"/>
                <w:sz w:val="24"/>
                <w:lang w:val="en-US"/>
              </w:rPr>
              <w:t>720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39" w:hRule="atLeast"/>
        </w:trPr>
        <w:tc>
          <w:tcPr>
            <w:tcW w:w="751" w:type="dxa"/>
            <w:tcBorders>
              <w:top w:val="single" w:color="000000" w:sz="4" w:space="0"/>
              <w:bottom w:val="single" w:color="000000" w:sz="4" w:space="0"/>
              <w:right w:val="single" w:color="000000" w:sz="4" w:space="0"/>
            </w:tcBorders>
            <w:noWrap w:val="0"/>
            <w:vAlign w:val="top"/>
          </w:tcPr>
          <w:p>
            <w:pPr>
              <w:pStyle w:val="7"/>
              <w:spacing w:before="72"/>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4</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483" w:right="481"/>
              <w:jc w:val="center"/>
              <w:rPr>
                <w:rFonts w:hint="eastAsia" w:ascii="宋体" w:hAnsi="宋体" w:eastAsia="宋体" w:cs="宋体"/>
                <w:spacing w:val="-4"/>
                <w:sz w:val="24"/>
              </w:rPr>
            </w:pPr>
            <w:r>
              <w:rPr>
                <w:rFonts w:hint="eastAsia" w:ascii="宋体" w:hAnsi="宋体" w:eastAsia="宋体" w:cs="宋体"/>
                <w:szCs w:val="21"/>
              </w:rPr>
              <w:t>▲</w:t>
            </w:r>
            <w:r>
              <w:rPr>
                <w:rFonts w:hint="eastAsia" w:ascii="宋体" w:hAnsi="宋体" w:eastAsia="宋体" w:cs="宋体"/>
                <w:spacing w:val="-4"/>
                <w:sz w:val="24"/>
              </w:rPr>
              <w:t>数据网关</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9"/>
              <w:jc w:val="center"/>
              <w:rPr>
                <w:rFonts w:hint="eastAsia" w:ascii="宋体" w:hAnsi="宋体" w:eastAsia="宋体" w:cs="宋体"/>
                <w:spacing w:val="-4"/>
                <w:sz w:val="24"/>
              </w:rPr>
            </w:pPr>
            <w:r>
              <w:rPr>
                <w:rFonts w:hint="eastAsia" w:ascii="宋体" w:hAnsi="宋体" w:eastAsia="宋体" w:cs="宋体"/>
                <w:spacing w:val="-4"/>
                <w:sz w:val="24"/>
              </w:rPr>
              <w:t>台</w:t>
            </w:r>
          </w:p>
        </w:tc>
        <w:tc>
          <w:tcPr>
            <w:tcW w:w="2552" w:type="dxa"/>
            <w:tcBorders>
              <w:top w:val="single" w:color="000000" w:sz="4" w:space="0"/>
              <w:left w:val="single" w:color="000000" w:sz="4" w:space="0"/>
              <w:bottom w:val="single" w:color="000000" w:sz="4" w:space="0"/>
            </w:tcBorders>
            <w:noWrap w:val="0"/>
            <w:vAlign w:val="top"/>
          </w:tcPr>
          <w:p>
            <w:pPr>
              <w:pStyle w:val="7"/>
              <w:spacing w:before="72"/>
              <w:ind w:left="12"/>
              <w:jc w:val="center"/>
              <w:rPr>
                <w:rFonts w:hint="eastAsia" w:ascii="宋体" w:hAnsi="宋体" w:eastAsia="宋体" w:cs="宋体"/>
                <w:spacing w:val="-4"/>
                <w:sz w:val="24"/>
                <w:lang w:val="en-US"/>
              </w:rPr>
            </w:pPr>
            <w:r>
              <w:rPr>
                <w:rFonts w:hint="eastAsia" w:ascii="宋体" w:hAnsi="宋体" w:eastAsia="宋体" w:cs="宋体"/>
                <w:spacing w:val="-4"/>
                <w:sz w:val="24"/>
                <w:lang w:val="en-US"/>
              </w:rPr>
              <w:t>11</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39" w:hRule="atLeast"/>
        </w:trPr>
        <w:tc>
          <w:tcPr>
            <w:tcW w:w="751" w:type="dxa"/>
            <w:tcBorders>
              <w:top w:val="single" w:color="000000" w:sz="4" w:space="0"/>
              <w:bottom w:val="single" w:color="000000" w:sz="4" w:space="0"/>
              <w:right w:val="single" w:color="000000" w:sz="4" w:space="0"/>
            </w:tcBorders>
            <w:noWrap w:val="0"/>
            <w:vAlign w:val="top"/>
          </w:tcPr>
          <w:p>
            <w:pPr>
              <w:pStyle w:val="7"/>
              <w:spacing w:before="72"/>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5</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483" w:right="481"/>
              <w:jc w:val="center"/>
              <w:rPr>
                <w:rFonts w:hint="eastAsia" w:ascii="宋体" w:hAnsi="宋体" w:eastAsia="宋体" w:cs="宋体"/>
                <w:spacing w:val="-4"/>
                <w:sz w:val="24"/>
              </w:rPr>
            </w:pPr>
            <w:r>
              <w:rPr>
                <w:rFonts w:hint="eastAsia" w:ascii="宋体" w:hAnsi="宋体" w:eastAsia="宋体" w:cs="宋体"/>
                <w:spacing w:val="-4"/>
                <w:sz w:val="24"/>
              </w:rPr>
              <w:t>空开（单匹</w:t>
            </w:r>
            <w:r>
              <w:rPr>
                <w:rFonts w:hint="eastAsia" w:ascii="宋体" w:hAnsi="宋体" w:eastAsia="宋体" w:cs="宋体"/>
                <w:spacing w:val="-4"/>
                <w:sz w:val="24"/>
                <w:lang w:val="en-US"/>
              </w:rPr>
              <w:t>20A</w:t>
            </w:r>
            <w:r>
              <w:rPr>
                <w:rFonts w:hint="eastAsia" w:ascii="宋体" w:hAnsi="宋体" w:eastAsia="宋体" w:cs="宋体"/>
                <w:spacing w:val="-4"/>
                <w:sz w:val="24"/>
              </w:rPr>
              <w:t>）</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9"/>
              <w:jc w:val="center"/>
              <w:rPr>
                <w:rFonts w:hint="eastAsia" w:ascii="宋体" w:hAnsi="宋体" w:eastAsia="宋体" w:cs="宋体"/>
                <w:spacing w:val="-4"/>
                <w:sz w:val="24"/>
              </w:rPr>
            </w:pPr>
            <w:r>
              <w:rPr>
                <w:rFonts w:hint="eastAsia" w:ascii="宋体" w:hAnsi="宋体" w:eastAsia="宋体" w:cs="宋体"/>
                <w:spacing w:val="-4"/>
                <w:sz w:val="24"/>
              </w:rPr>
              <w:t>只</w:t>
            </w:r>
          </w:p>
        </w:tc>
        <w:tc>
          <w:tcPr>
            <w:tcW w:w="2552" w:type="dxa"/>
            <w:tcBorders>
              <w:top w:val="single" w:color="000000" w:sz="4" w:space="0"/>
              <w:left w:val="single" w:color="000000" w:sz="4" w:space="0"/>
              <w:bottom w:val="single" w:color="000000" w:sz="4" w:space="0"/>
            </w:tcBorders>
            <w:noWrap w:val="0"/>
            <w:vAlign w:val="top"/>
          </w:tcPr>
          <w:p>
            <w:pPr>
              <w:pStyle w:val="7"/>
              <w:spacing w:before="72"/>
              <w:ind w:left="969" w:right="956"/>
              <w:jc w:val="center"/>
              <w:rPr>
                <w:rFonts w:hint="eastAsia" w:ascii="宋体" w:hAnsi="宋体" w:eastAsia="宋体" w:cs="宋体"/>
                <w:spacing w:val="-4"/>
                <w:sz w:val="24"/>
                <w:lang w:val="en-US"/>
              </w:rPr>
            </w:pPr>
            <w:r>
              <w:rPr>
                <w:rFonts w:hint="eastAsia" w:ascii="宋体" w:hAnsi="宋体" w:eastAsia="宋体" w:cs="宋体"/>
                <w:spacing w:val="-4"/>
                <w:sz w:val="24"/>
                <w:lang w:val="en-US"/>
              </w:rPr>
              <w:t>100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39" w:hRule="atLeast"/>
        </w:trPr>
        <w:tc>
          <w:tcPr>
            <w:tcW w:w="751" w:type="dxa"/>
            <w:tcBorders>
              <w:top w:val="single" w:color="000000" w:sz="4" w:space="0"/>
              <w:bottom w:val="single" w:color="000000" w:sz="4" w:space="0"/>
              <w:right w:val="single" w:color="000000" w:sz="4" w:space="0"/>
            </w:tcBorders>
            <w:noWrap w:val="0"/>
            <w:vAlign w:val="top"/>
          </w:tcPr>
          <w:p>
            <w:pPr>
              <w:pStyle w:val="7"/>
              <w:spacing w:before="74"/>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6</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4"/>
              <w:ind w:left="483" w:right="481"/>
              <w:jc w:val="center"/>
              <w:rPr>
                <w:rFonts w:hint="eastAsia" w:ascii="宋体" w:hAnsi="宋体" w:eastAsia="宋体" w:cs="宋体"/>
                <w:spacing w:val="-4"/>
                <w:sz w:val="24"/>
              </w:rPr>
            </w:pPr>
            <w:r>
              <w:rPr>
                <w:rFonts w:hint="eastAsia" w:ascii="宋体" w:hAnsi="宋体" w:eastAsia="宋体" w:cs="宋体"/>
                <w:spacing w:val="-4"/>
                <w:sz w:val="24"/>
              </w:rPr>
              <w:t>空开（双匹</w:t>
            </w:r>
            <w:r>
              <w:rPr>
                <w:rFonts w:hint="eastAsia" w:ascii="宋体" w:hAnsi="宋体" w:eastAsia="宋体" w:cs="宋体"/>
                <w:spacing w:val="-4"/>
                <w:sz w:val="24"/>
                <w:lang w:val="en-US"/>
              </w:rPr>
              <w:t>20A</w:t>
            </w:r>
            <w:r>
              <w:rPr>
                <w:rFonts w:hint="eastAsia" w:ascii="宋体" w:hAnsi="宋体" w:eastAsia="宋体" w:cs="宋体"/>
                <w:spacing w:val="-4"/>
                <w:sz w:val="24"/>
              </w:rPr>
              <w:t>）</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4"/>
              <w:ind w:left="9"/>
              <w:jc w:val="center"/>
              <w:rPr>
                <w:rFonts w:hint="eastAsia" w:ascii="宋体" w:hAnsi="宋体" w:eastAsia="宋体" w:cs="宋体"/>
                <w:spacing w:val="-4"/>
                <w:sz w:val="24"/>
              </w:rPr>
            </w:pPr>
            <w:r>
              <w:rPr>
                <w:rFonts w:hint="eastAsia" w:ascii="宋体" w:hAnsi="宋体" w:eastAsia="宋体" w:cs="宋体"/>
                <w:spacing w:val="-4"/>
                <w:sz w:val="24"/>
              </w:rPr>
              <w:t>只</w:t>
            </w:r>
          </w:p>
        </w:tc>
        <w:tc>
          <w:tcPr>
            <w:tcW w:w="2552" w:type="dxa"/>
            <w:tcBorders>
              <w:top w:val="single" w:color="000000" w:sz="4" w:space="0"/>
              <w:left w:val="single" w:color="000000" w:sz="4" w:space="0"/>
              <w:bottom w:val="single" w:color="000000" w:sz="4" w:space="0"/>
            </w:tcBorders>
            <w:noWrap w:val="0"/>
            <w:vAlign w:val="top"/>
          </w:tcPr>
          <w:p>
            <w:pPr>
              <w:pStyle w:val="7"/>
              <w:spacing w:before="74"/>
              <w:ind w:left="972" w:right="956"/>
              <w:jc w:val="center"/>
              <w:rPr>
                <w:rFonts w:hint="eastAsia" w:ascii="宋体" w:hAnsi="宋体" w:eastAsia="宋体" w:cs="宋体"/>
                <w:spacing w:val="-4"/>
                <w:sz w:val="24"/>
                <w:lang w:val="en-US"/>
              </w:rPr>
            </w:pPr>
            <w:r>
              <w:rPr>
                <w:rFonts w:hint="eastAsia" w:ascii="宋体" w:hAnsi="宋体" w:eastAsia="宋体" w:cs="宋体"/>
                <w:spacing w:val="-4"/>
                <w:sz w:val="24"/>
                <w:lang w:val="en-US"/>
              </w:rPr>
              <w:t>720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1" w:hRule="atLeast"/>
        </w:trPr>
        <w:tc>
          <w:tcPr>
            <w:tcW w:w="751" w:type="dxa"/>
            <w:tcBorders>
              <w:top w:val="single" w:color="000000" w:sz="4" w:space="0"/>
              <w:bottom w:val="single" w:color="000000" w:sz="4" w:space="0"/>
              <w:right w:val="single" w:color="000000" w:sz="4" w:space="0"/>
            </w:tcBorders>
            <w:noWrap w:val="0"/>
            <w:vAlign w:val="top"/>
          </w:tcPr>
          <w:p>
            <w:pPr>
              <w:pStyle w:val="7"/>
              <w:spacing w:before="74"/>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7</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4"/>
              <w:ind w:left="483" w:right="481"/>
              <w:jc w:val="center"/>
              <w:rPr>
                <w:rFonts w:hint="eastAsia" w:ascii="宋体" w:hAnsi="宋体" w:eastAsia="宋体" w:cs="宋体"/>
                <w:spacing w:val="-4"/>
                <w:sz w:val="24"/>
                <w:lang w:val="en-US"/>
              </w:rPr>
            </w:pPr>
            <w:r>
              <w:rPr>
                <w:rFonts w:hint="eastAsia" w:ascii="宋体" w:hAnsi="宋体" w:eastAsia="宋体" w:cs="宋体"/>
                <w:spacing w:val="-4"/>
                <w:sz w:val="24"/>
              </w:rPr>
              <w:t>电源线国标</w:t>
            </w:r>
            <w:r>
              <w:rPr>
                <w:rFonts w:hint="eastAsia" w:ascii="宋体" w:hAnsi="宋体" w:eastAsia="宋体" w:cs="宋体"/>
                <w:spacing w:val="-4"/>
                <w:sz w:val="24"/>
                <w:lang w:val="en-US"/>
              </w:rPr>
              <w:t>4平方</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4"/>
              <w:ind w:left="9"/>
              <w:jc w:val="center"/>
              <w:rPr>
                <w:rFonts w:hint="eastAsia" w:ascii="宋体" w:hAnsi="宋体" w:eastAsia="宋体" w:cs="宋体"/>
                <w:spacing w:val="-4"/>
                <w:sz w:val="24"/>
              </w:rPr>
            </w:pPr>
            <w:r>
              <w:rPr>
                <w:rFonts w:hint="eastAsia" w:ascii="宋体" w:hAnsi="宋体" w:eastAsia="宋体" w:cs="宋体"/>
                <w:spacing w:val="-4"/>
                <w:sz w:val="24"/>
              </w:rPr>
              <w:t>米</w:t>
            </w:r>
          </w:p>
        </w:tc>
        <w:tc>
          <w:tcPr>
            <w:tcW w:w="2552" w:type="dxa"/>
            <w:tcBorders>
              <w:top w:val="single" w:color="000000" w:sz="4" w:space="0"/>
              <w:left w:val="single" w:color="000000" w:sz="4" w:space="0"/>
              <w:bottom w:val="single" w:color="000000" w:sz="4" w:space="0"/>
            </w:tcBorders>
            <w:noWrap w:val="0"/>
            <w:vAlign w:val="top"/>
          </w:tcPr>
          <w:p>
            <w:pPr>
              <w:pStyle w:val="7"/>
              <w:spacing w:before="74"/>
              <w:ind w:left="972" w:right="956"/>
              <w:jc w:val="center"/>
              <w:rPr>
                <w:rFonts w:hint="eastAsia" w:ascii="宋体" w:hAnsi="宋体" w:eastAsia="宋体" w:cs="宋体"/>
                <w:spacing w:val="-4"/>
                <w:sz w:val="24"/>
                <w:lang w:val="en-US"/>
              </w:rPr>
            </w:pPr>
            <w:r>
              <w:rPr>
                <w:rFonts w:hint="eastAsia" w:ascii="宋体" w:hAnsi="宋体" w:eastAsia="宋体" w:cs="宋体"/>
                <w:spacing w:val="-4"/>
                <w:sz w:val="24"/>
                <w:lang w:val="en-US"/>
              </w:rPr>
              <w:t>1600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39" w:hRule="atLeast"/>
        </w:trPr>
        <w:tc>
          <w:tcPr>
            <w:tcW w:w="751" w:type="dxa"/>
            <w:tcBorders>
              <w:top w:val="single" w:color="000000" w:sz="4" w:space="0"/>
              <w:bottom w:val="single" w:color="000000" w:sz="4" w:space="0"/>
              <w:right w:val="single" w:color="000000" w:sz="4" w:space="0"/>
            </w:tcBorders>
            <w:noWrap w:val="0"/>
            <w:vAlign w:val="top"/>
          </w:tcPr>
          <w:p>
            <w:pPr>
              <w:pStyle w:val="7"/>
              <w:spacing w:before="72"/>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8</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483" w:right="481"/>
              <w:jc w:val="center"/>
              <w:rPr>
                <w:rFonts w:hint="eastAsia" w:ascii="宋体" w:hAnsi="宋体" w:eastAsia="宋体" w:cs="宋体"/>
                <w:spacing w:val="-4"/>
                <w:sz w:val="24"/>
              </w:rPr>
            </w:pPr>
            <w:r>
              <w:rPr>
                <w:rFonts w:hint="eastAsia" w:ascii="宋体" w:hAnsi="宋体" w:eastAsia="宋体" w:cs="宋体"/>
                <w:spacing w:val="-4"/>
                <w:sz w:val="24"/>
              </w:rPr>
              <w:t>通讯线（</w:t>
            </w:r>
            <w:r>
              <w:rPr>
                <w:rFonts w:hint="eastAsia" w:ascii="宋体" w:hAnsi="宋体" w:eastAsia="宋体" w:cs="宋体"/>
                <w:spacing w:val="-4"/>
                <w:sz w:val="24"/>
                <w:lang w:val="en-US"/>
              </w:rPr>
              <w:t>RVVP2*1</w:t>
            </w:r>
            <w:r>
              <w:rPr>
                <w:rFonts w:hint="eastAsia" w:ascii="宋体" w:hAnsi="宋体" w:eastAsia="宋体" w:cs="宋体"/>
                <w:spacing w:val="-4"/>
                <w:sz w:val="24"/>
              </w:rPr>
              <w:t>）</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9"/>
              <w:jc w:val="center"/>
              <w:rPr>
                <w:rFonts w:hint="eastAsia" w:ascii="宋体" w:hAnsi="宋体" w:eastAsia="宋体" w:cs="宋体"/>
                <w:spacing w:val="-4"/>
                <w:sz w:val="24"/>
              </w:rPr>
            </w:pPr>
            <w:r>
              <w:rPr>
                <w:rFonts w:hint="eastAsia" w:ascii="宋体" w:hAnsi="宋体" w:eastAsia="宋体" w:cs="宋体"/>
                <w:spacing w:val="-4"/>
                <w:sz w:val="24"/>
              </w:rPr>
              <w:t>米</w:t>
            </w:r>
          </w:p>
        </w:tc>
        <w:tc>
          <w:tcPr>
            <w:tcW w:w="2552" w:type="dxa"/>
            <w:tcBorders>
              <w:top w:val="single" w:color="000000" w:sz="4" w:space="0"/>
              <w:left w:val="single" w:color="000000" w:sz="4" w:space="0"/>
              <w:bottom w:val="single" w:color="000000" w:sz="4" w:space="0"/>
            </w:tcBorders>
            <w:noWrap w:val="0"/>
            <w:vAlign w:val="top"/>
          </w:tcPr>
          <w:p>
            <w:pPr>
              <w:pStyle w:val="7"/>
              <w:spacing w:before="72"/>
              <w:ind w:right="956" w:firstLine="1160" w:firstLineChars="500"/>
              <w:jc w:val="both"/>
              <w:rPr>
                <w:rFonts w:hint="eastAsia" w:ascii="宋体" w:hAnsi="宋体" w:eastAsia="宋体" w:cs="宋体"/>
                <w:spacing w:val="-4"/>
                <w:sz w:val="24"/>
                <w:lang w:val="en-US"/>
              </w:rPr>
            </w:pPr>
            <w:r>
              <w:rPr>
                <w:rFonts w:hint="eastAsia" w:ascii="宋体" w:hAnsi="宋体" w:eastAsia="宋体" w:cs="宋体"/>
                <w:spacing w:val="-4"/>
                <w:sz w:val="24"/>
                <w:lang w:val="en-US"/>
              </w:rPr>
              <w:t>600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39" w:hRule="atLeast"/>
        </w:trPr>
        <w:tc>
          <w:tcPr>
            <w:tcW w:w="751" w:type="dxa"/>
            <w:tcBorders>
              <w:top w:val="single" w:color="000000" w:sz="4" w:space="0"/>
              <w:bottom w:val="single" w:color="000000" w:sz="4" w:space="0"/>
              <w:right w:val="single" w:color="000000" w:sz="4" w:space="0"/>
            </w:tcBorders>
            <w:noWrap w:val="0"/>
            <w:vAlign w:val="top"/>
          </w:tcPr>
          <w:p>
            <w:pPr>
              <w:pStyle w:val="7"/>
              <w:spacing w:before="72"/>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9</w:t>
            </w:r>
          </w:p>
        </w:tc>
        <w:tc>
          <w:tcPr>
            <w:tcW w:w="4030"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483" w:right="481"/>
              <w:jc w:val="center"/>
              <w:rPr>
                <w:rFonts w:hint="eastAsia" w:ascii="宋体" w:hAnsi="宋体" w:eastAsia="宋体" w:cs="宋体"/>
                <w:spacing w:val="-4"/>
                <w:sz w:val="24"/>
              </w:rPr>
            </w:pPr>
            <w:r>
              <w:rPr>
                <w:rFonts w:hint="eastAsia" w:ascii="宋体" w:hAnsi="宋体" w:eastAsia="宋体" w:cs="宋体"/>
                <w:spacing w:val="-4"/>
                <w:sz w:val="24"/>
              </w:rPr>
              <w:t>电控服务器（满足现场电控需求）</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pPr>
              <w:pStyle w:val="7"/>
              <w:spacing w:before="72"/>
              <w:ind w:left="9"/>
              <w:jc w:val="center"/>
              <w:rPr>
                <w:rFonts w:hint="eastAsia" w:ascii="宋体" w:hAnsi="宋体" w:eastAsia="宋体" w:cs="宋体"/>
                <w:spacing w:val="-4"/>
                <w:sz w:val="24"/>
              </w:rPr>
            </w:pPr>
            <w:r>
              <w:rPr>
                <w:rFonts w:hint="eastAsia" w:ascii="宋体" w:hAnsi="宋体" w:eastAsia="宋体" w:cs="宋体"/>
                <w:spacing w:val="-4"/>
                <w:sz w:val="24"/>
              </w:rPr>
              <w:t>台</w:t>
            </w:r>
          </w:p>
        </w:tc>
        <w:tc>
          <w:tcPr>
            <w:tcW w:w="2552" w:type="dxa"/>
            <w:tcBorders>
              <w:top w:val="single" w:color="000000" w:sz="4" w:space="0"/>
              <w:left w:val="single" w:color="000000" w:sz="4" w:space="0"/>
              <w:bottom w:val="single" w:color="000000" w:sz="4" w:space="0"/>
            </w:tcBorders>
            <w:noWrap w:val="0"/>
            <w:vAlign w:val="top"/>
          </w:tcPr>
          <w:p>
            <w:pPr>
              <w:pStyle w:val="7"/>
              <w:spacing w:before="72"/>
              <w:ind w:right="956" w:firstLine="1160" w:firstLineChars="500"/>
              <w:jc w:val="both"/>
              <w:rPr>
                <w:rFonts w:hint="eastAsia" w:ascii="宋体" w:hAnsi="宋体" w:eastAsia="宋体" w:cs="宋体"/>
                <w:spacing w:val="-4"/>
                <w:sz w:val="24"/>
                <w:lang w:val="en-US"/>
              </w:rPr>
            </w:pPr>
            <w:r>
              <w:rPr>
                <w:rFonts w:hint="eastAsia" w:ascii="宋体" w:hAnsi="宋体" w:eastAsia="宋体" w:cs="宋体"/>
                <w:spacing w:val="-4"/>
                <w:sz w:val="24"/>
                <w:lang w:val="en-US"/>
              </w:rPr>
              <w:t>1</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9" w:hRule="atLeast"/>
        </w:trPr>
        <w:tc>
          <w:tcPr>
            <w:tcW w:w="751" w:type="dxa"/>
            <w:tcBorders>
              <w:top w:val="single" w:color="000000" w:sz="4" w:space="0"/>
              <w:right w:val="single" w:color="000000" w:sz="4" w:space="0"/>
            </w:tcBorders>
            <w:noWrap w:val="0"/>
            <w:vAlign w:val="top"/>
          </w:tcPr>
          <w:p>
            <w:pPr>
              <w:pStyle w:val="7"/>
              <w:spacing w:before="71"/>
              <w:ind w:right="3"/>
              <w:jc w:val="center"/>
              <w:rPr>
                <w:rFonts w:hint="eastAsia" w:ascii="宋体" w:hAnsi="宋体" w:eastAsia="宋体" w:cs="宋体"/>
                <w:spacing w:val="-4"/>
                <w:sz w:val="24"/>
                <w:lang w:val="en-US"/>
              </w:rPr>
            </w:pPr>
            <w:r>
              <w:rPr>
                <w:rFonts w:hint="eastAsia" w:ascii="宋体" w:hAnsi="宋体" w:eastAsia="宋体" w:cs="宋体"/>
                <w:spacing w:val="-4"/>
                <w:sz w:val="24"/>
                <w:lang w:val="en-US"/>
              </w:rPr>
              <w:t>10</w:t>
            </w:r>
          </w:p>
        </w:tc>
        <w:tc>
          <w:tcPr>
            <w:tcW w:w="4030" w:type="dxa"/>
            <w:tcBorders>
              <w:top w:val="single" w:color="000000" w:sz="4" w:space="0"/>
              <w:left w:val="single" w:color="000000" w:sz="4" w:space="0"/>
              <w:right w:val="single" w:color="000000" w:sz="4" w:space="0"/>
            </w:tcBorders>
            <w:noWrap w:val="0"/>
            <w:vAlign w:val="top"/>
          </w:tcPr>
          <w:p>
            <w:pPr>
              <w:pStyle w:val="7"/>
              <w:spacing w:before="71"/>
              <w:ind w:left="483" w:right="481"/>
              <w:jc w:val="center"/>
              <w:rPr>
                <w:rFonts w:hint="eastAsia" w:ascii="宋体" w:hAnsi="宋体" w:eastAsia="宋体" w:cs="宋体"/>
                <w:spacing w:val="-4"/>
                <w:sz w:val="24"/>
              </w:rPr>
            </w:pPr>
            <w:r>
              <w:rPr>
                <w:rFonts w:hint="eastAsia" w:ascii="宋体" w:hAnsi="宋体" w:eastAsia="宋体" w:cs="宋体"/>
                <w:spacing w:val="-4"/>
                <w:sz w:val="24"/>
              </w:rPr>
              <w:t>系统集成实施费</w:t>
            </w:r>
          </w:p>
        </w:tc>
        <w:tc>
          <w:tcPr>
            <w:tcW w:w="1283" w:type="dxa"/>
            <w:tcBorders>
              <w:top w:val="single" w:color="000000" w:sz="4" w:space="0"/>
              <w:left w:val="single" w:color="000000" w:sz="4" w:space="0"/>
              <w:right w:val="single" w:color="000000" w:sz="4" w:space="0"/>
            </w:tcBorders>
            <w:noWrap w:val="0"/>
            <w:vAlign w:val="top"/>
          </w:tcPr>
          <w:p>
            <w:pPr>
              <w:pStyle w:val="7"/>
              <w:spacing w:before="71"/>
              <w:ind w:left="9"/>
              <w:jc w:val="center"/>
              <w:rPr>
                <w:rFonts w:hint="eastAsia" w:ascii="宋体" w:hAnsi="宋体" w:eastAsia="宋体" w:cs="宋体"/>
                <w:spacing w:val="-4"/>
                <w:sz w:val="24"/>
              </w:rPr>
            </w:pPr>
            <w:r>
              <w:rPr>
                <w:rFonts w:hint="eastAsia" w:ascii="宋体" w:hAnsi="宋体" w:eastAsia="宋体" w:cs="宋体"/>
                <w:spacing w:val="-4"/>
                <w:sz w:val="24"/>
              </w:rPr>
              <w:t>项</w:t>
            </w:r>
          </w:p>
        </w:tc>
        <w:tc>
          <w:tcPr>
            <w:tcW w:w="2552" w:type="dxa"/>
            <w:tcBorders>
              <w:top w:val="single" w:color="000000" w:sz="4" w:space="0"/>
              <w:left w:val="single" w:color="000000" w:sz="4" w:space="0"/>
            </w:tcBorders>
            <w:noWrap w:val="0"/>
            <w:vAlign w:val="top"/>
          </w:tcPr>
          <w:p>
            <w:pPr>
              <w:pStyle w:val="7"/>
              <w:spacing w:before="71"/>
              <w:ind w:left="12"/>
              <w:jc w:val="center"/>
              <w:rPr>
                <w:rFonts w:hint="eastAsia" w:ascii="宋体" w:hAnsi="宋体" w:eastAsia="宋体" w:cs="宋体"/>
                <w:spacing w:val="-4"/>
                <w:sz w:val="24"/>
              </w:rPr>
            </w:pPr>
            <w:r>
              <w:rPr>
                <w:rFonts w:hint="eastAsia" w:ascii="宋体" w:hAnsi="宋体" w:eastAsia="宋体" w:cs="宋体"/>
                <w:spacing w:val="-4"/>
                <w:sz w:val="24"/>
              </w:rPr>
              <w:t>1</w:t>
            </w:r>
          </w:p>
        </w:tc>
      </w:tr>
    </w:tbl>
    <w:p>
      <w:pPr>
        <w:spacing w:line="240" w:lineRule="auto"/>
        <w:jc w:val="left"/>
        <w:rPr>
          <w:rFonts w:hint="eastAsia" w:ascii="黑体" w:hAnsi="黑体" w:eastAsia="黑体"/>
          <w:sz w:val="28"/>
          <w:szCs w:val="28"/>
        </w:rPr>
      </w:pPr>
    </w:p>
    <w:p>
      <w:pPr>
        <w:spacing w:line="240" w:lineRule="auto"/>
        <w:jc w:val="left"/>
        <w:rPr>
          <w:rFonts w:ascii="黑体" w:hAnsi="黑体" w:eastAsia="黑体"/>
          <w:sz w:val="28"/>
          <w:szCs w:val="28"/>
        </w:rPr>
      </w:pPr>
    </w:p>
    <w:p>
      <w:pPr>
        <w:numPr>
          <w:ilvl w:val="0"/>
          <w:numId w:val="0"/>
        </w:numPr>
        <w:tabs>
          <w:tab w:val="left" w:pos="586"/>
        </w:tabs>
        <w:autoSpaceDE w:val="0"/>
        <w:autoSpaceDN w:val="0"/>
        <w:spacing w:line="360" w:lineRule="auto"/>
        <w:outlineLvl w:val="5"/>
        <w:rPr>
          <w:rFonts w:hint="eastAsia" w:ascii="宋体" w:hAnsi="宋体" w:eastAsia="宋体" w:cs="宋体"/>
          <w:sz w:val="24"/>
          <w:szCs w:val="24"/>
        </w:rPr>
      </w:pPr>
      <w:r>
        <w:rPr>
          <w:rFonts w:hint="eastAsia" w:ascii="黑体" w:hAnsi="黑体" w:eastAsia="黑体" w:cs="黑体"/>
          <w:kern w:val="2"/>
          <w:sz w:val="24"/>
          <w:szCs w:val="24"/>
          <w:lang w:val="en-US" w:eastAsia="zh-CN" w:bidi="ar-SA"/>
        </w:rPr>
        <w:t>2、</w:t>
      </w:r>
      <w:r>
        <w:rPr>
          <w:rFonts w:hint="eastAsia" w:ascii="黑体" w:hAnsi="黑体" w:eastAsia="黑体" w:cs="黑体"/>
          <w:b w:val="0"/>
          <w:bCs w:val="0"/>
          <w:sz w:val="24"/>
          <w:szCs w:val="24"/>
        </w:rPr>
        <w:t>主要货物技术要求</w:t>
      </w:r>
      <w:r>
        <w:rPr>
          <w:rFonts w:hint="eastAsia" w:ascii="宋体" w:hAnsi="宋体" w:eastAsia="宋体" w:cs="宋体"/>
          <w:sz w:val="24"/>
          <w:szCs w:val="24"/>
        </w:rPr>
        <w:t>（注“★”条款项为必须满足项，不满足的按无效响应处理</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条款项每满足一项得两分；无标注的条款如累积3项以上（不含3项）负偏离的，做无效响应处理。</w:t>
      </w:r>
      <w:r>
        <w:rPr>
          <w:rFonts w:hint="eastAsia" w:ascii="宋体" w:hAnsi="宋体" w:eastAsia="宋体" w:cs="宋体"/>
          <w:sz w:val="24"/>
          <w:szCs w:val="24"/>
        </w:rPr>
        <w:t>）</w:t>
      </w:r>
    </w:p>
    <w:p>
      <w:pPr>
        <w:numPr>
          <w:ilvl w:val="0"/>
          <w:numId w:val="0"/>
        </w:numPr>
        <w:tabs>
          <w:tab w:val="left" w:pos="586"/>
        </w:tabs>
        <w:autoSpaceDE w:val="0"/>
        <w:autoSpaceDN w:val="0"/>
        <w:spacing w:line="360" w:lineRule="auto"/>
        <w:outlineLvl w:val="5"/>
        <w:rPr>
          <w:rFonts w:hint="eastAsia" w:ascii="宋体" w:hAnsi="宋体" w:eastAsia="宋体" w:cs="宋体"/>
          <w:sz w:val="24"/>
          <w:szCs w:val="24"/>
        </w:rPr>
      </w:pPr>
    </w:p>
    <w:p>
      <w:pPr>
        <w:keepNext w:val="0"/>
        <w:keepLines w:val="0"/>
        <w:pageBreakBefore w:val="0"/>
        <w:widowControl w:val="0"/>
        <w:numPr>
          <w:ilvl w:val="1"/>
          <w:numId w:val="3"/>
        </w:numPr>
        <w:tabs>
          <w:tab w:val="left" w:pos="586"/>
        </w:tabs>
        <w:kinsoku/>
        <w:wordWrap/>
        <w:overflowPunct/>
        <w:topLinePunct w:val="0"/>
        <w:autoSpaceDE w:val="0"/>
        <w:autoSpaceDN w:val="0"/>
        <w:bidi w:val="0"/>
        <w:adjustRightInd/>
        <w:snapToGrid/>
        <w:spacing w:line="360" w:lineRule="auto"/>
        <w:ind w:left="366" w:leftChars="0" w:hanging="366" w:firstLineChars="0"/>
        <w:textAlignment w:val="auto"/>
        <w:outlineLvl w:val="5"/>
        <w:rPr>
          <w:rFonts w:hint="eastAsia" w:ascii="宋体" w:hAnsi="宋体" w:eastAsia="宋体" w:cs="宋体"/>
          <w:b/>
          <w:sz w:val="24"/>
          <w:szCs w:val="24"/>
          <w:lang w:val="zh-CN" w:bidi="zh-CN"/>
        </w:rPr>
      </w:pPr>
      <w:r>
        <w:rPr>
          <w:rFonts w:hint="eastAsia" w:ascii="宋体" w:hAnsi="宋体" w:eastAsia="宋体" w:cs="宋体"/>
          <w:b/>
          <w:bCs/>
          <w:sz w:val="24"/>
          <w:szCs w:val="24"/>
          <w:lang w:bidi="zh-CN"/>
        </w:rPr>
        <w:t xml:space="preserve"> </w:t>
      </w:r>
      <w:r>
        <w:rPr>
          <w:rFonts w:hint="eastAsia" w:ascii="宋体" w:hAnsi="宋体" w:eastAsia="宋体" w:cs="宋体"/>
          <w:sz w:val="24"/>
          <w:szCs w:val="24"/>
        </w:rPr>
        <w:t>▲</w:t>
      </w:r>
      <w:r>
        <w:rPr>
          <w:rFonts w:hint="eastAsia" w:ascii="宋体" w:hAnsi="宋体" w:eastAsia="宋体" w:cs="宋体"/>
          <w:b/>
          <w:bCs/>
          <w:sz w:val="24"/>
          <w:szCs w:val="24"/>
          <w:lang w:val="zh-CN" w:bidi="zh-CN"/>
        </w:rPr>
        <w:t>数据网关</w:t>
      </w:r>
    </w:p>
    <w:p>
      <w:pPr>
        <w:keepNext w:val="0"/>
        <w:keepLines w:val="0"/>
        <w:pageBreakBefore w:val="0"/>
        <w:widowControl w:val="0"/>
        <w:numPr>
          <w:ilvl w:val="2"/>
          <w:numId w:val="3"/>
        </w:numPr>
        <w:tabs>
          <w:tab w:val="left" w:pos="826"/>
        </w:tabs>
        <w:kinsoku/>
        <w:wordWrap/>
        <w:overflowPunct/>
        <w:topLinePunct w:val="0"/>
        <w:autoSpaceDE w:val="0"/>
        <w:autoSpaceDN w:val="0"/>
        <w:bidi w:val="0"/>
        <w:adjustRightInd/>
        <w:snapToGrid/>
        <w:spacing w:line="360" w:lineRule="auto"/>
        <w:ind w:left="0" w:leftChars="0" w:firstLine="0" w:firstLineChars="0"/>
        <w:textAlignment w:val="auto"/>
        <w:outlineLvl w:val="5"/>
        <w:rPr>
          <w:rFonts w:hint="eastAsia" w:ascii="宋体" w:hAnsi="宋体" w:eastAsia="宋体" w:cs="宋体"/>
          <w:b/>
          <w:bCs/>
          <w:sz w:val="24"/>
          <w:szCs w:val="24"/>
          <w:lang w:val="zh-CN" w:bidi="zh-CN"/>
        </w:rPr>
      </w:pPr>
      <w:r>
        <w:rPr>
          <w:rFonts w:hint="eastAsia" w:ascii="宋体" w:hAnsi="宋体" w:eastAsia="宋体" w:cs="宋体"/>
          <w:b/>
          <w:bCs/>
          <w:sz w:val="24"/>
          <w:szCs w:val="24"/>
          <w:lang w:val="zh-CN" w:bidi="zh-CN"/>
        </w:rPr>
        <w:t>技术参数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1、采用ARM11或同等级及以上芯片；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525" w:firstLineChars="219"/>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2、支持TCP Server，lora或NB-Iot无线传输，和驱动程序模式；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3、●支持 Web，telnet和serial console；</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4、工作温度：-8℃～50℃；</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5、工作湿度：8%～94% 无冷凝；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6、工作功耗不高于5.5W，具有节能模式，功耗不超过2.8W；</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7、●数据网关可通过语音对接入网关的表具实现应急送电和应急断电。（提供国家认可的第三方检测机构出具的检测报告）；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8、设备显示屏为6寸及以上的电容触摸屏，分辨率不低于800X480；配置4G及以上存储，可实现外接存储卡。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9、●设备能同时连接不少于200个计量装置；支持单相电能表、 三相电能表、多功能电能表等多种计量装置进行数据采集，并且可以混接多种协议表具（提供国家认可的第三方检测机构出具的检测报告）；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10、如因传输网络故障等原因未能将数据定时远传，支持断点续传；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11、对上位机与网关之间通过标准XML文档进行传输并解析；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12、●设备具有定时控制功能，可设置不少于800个定时器组，并在脱离上层软件控制的情况下自动控制。（提供国家认可的第三方检测机构出具的检测报告）；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13、●可对网关IP、服务器IP和端口、数据上报时间间隔和计量装置的基本信息（设备名称、设备编号、串口参数、设备采集变量等）进行设置。（提供国家认可的第三方检测机构出具的检测报告）；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14、数据网关液晶屏和调试口能够经受8KV的放电测试。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15、●具有告警功能，用户接收到报警信息后，设备会通过声音或屏幕上图标闪烁报警，报警信息可实现上传至服务器。；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16、网关能实时对每个电表的情况进行实时采集，如电表用量、电表当前状态、电表告警信息等，并可通过屏显查询上述信息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17、●在网络不通或紧急情况下，用户可以通过触摸屏直接对电表进行供电或断电等应急控制。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18、●网关具有上下行无线通讯功能，可通过有线网络或无线网络（NB-lot）将数据上传到用户服务器，上传数据时间可灵活设置。（提供国家认可的第三方检测机构出具的检测报告）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19、●网关可以通过人脸识别进行鉴权登录。（提供国家认可的第三方检测机构出具的检测报告）</w:t>
      </w:r>
      <w:r>
        <w:rPr>
          <w:rFonts w:hint="eastAsia" w:ascii="宋体" w:hAnsi="宋体" w:eastAsia="宋体" w:cs="宋体"/>
          <w:kern w:val="0"/>
          <w:sz w:val="24"/>
          <w:szCs w:val="24"/>
          <w:lang w:val="zh-CN" w:bidi="zh-CN"/>
        </w:rPr>
        <w:br w:type="textWrapping"/>
      </w:r>
    </w:p>
    <w:p>
      <w:pPr>
        <w:keepNext w:val="0"/>
        <w:keepLines w:val="0"/>
        <w:pageBreakBefore w:val="0"/>
        <w:widowControl w:val="0"/>
        <w:numPr>
          <w:ilvl w:val="2"/>
          <w:numId w:val="3"/>
        </w:numPr>
        <w:tabs>
          <w:tab w:val="left" w:pos="826"/>
        </w:tabs>
        <w:kinsoku/>
        <w:wordWrap/>
        <w:overflowPunct/>
        <w:topLinePunct w:val="0"/>
        <w:autoSpaceDE w:val="0"/>
        <w:autoSpaceDN w:val="0"/>
        <w:bidi w:val="0"/>
        <w:adjustRightInd/>
        <w:snapToGrid/>
        <w:spacing w:line="360" w:lineRule="auto"/>
        <w:ind w:left="0" w:leftChars="0" w:firstLine="0" w:firstLineChars="0"/>
        <w:textAlignment w:val="auto"/>
        <w:outlineLvl w:val="5"/>
        <w:rPr>
          <w:rFonts w:hint="eastAsia" w:ascii="宋体" w:hAnsi="宋体" w:eastAsia="宋体" w:cs="宋体"/>
          <w:b/>
          <w:bCs/>
          <w:sz w:val="24"/>
          <w:szCs w:val="24"/>
          <w:lang w:val="zh-CN" w:bidi="zh-CN"/>
        </w:rPr>
      </w:pPr>
      <w:r>
        <w:rPr>
          <w:rFonts w:hint="eastAsia" w:ascii="宋体" w:hAnsi="宋体" w:eastAsia="宋体" w:cs="宋体"/>
          <w:b/>
          <w:bCs/>
          <w:sz w:val="24"/>
          <w:szCs w:val="24"/>
          <w:lang w:val="zh-CN" w:bidi="zh-CN"/>
        </w:rPr>
        <w:t>对接要求</w:t>
      </w:r>
    </w:p>
    <w:p>
      <w:pPr>
        <w:keepNext w:val="0"/>
        <w:keepLines w:val="0"/>
        <w:pageBreakBefore w:val="0"/>
        <w:widowControl w:val="0"/>
        <w:numPr>
          <w:ilvl w:val="0"/>
          <w:numId w:val="4"/>
        </w:numPr>
        <w:tabs>
          <w:tab w:val="left" w:pos="1302"/>
          <w:tab w:val="clear" w:pos="840"/>
        </w:tabs>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w:t>
      </w:r>
      <w:r>
        <w:rPr>
          <w:rFonts w:hint="eastAsia" w:ascii="宋体" w:hAnsi="宋体" w:eastAsia="宋体" w:cs="宋体"/>
          <w:sz w:val="24"/>
          <w:szCs w:val="24"/>
          <w:lang w:bidi="zh-CN"/>
        </w:rPr>
        <w:t>中标</w:t>
      </w:r>
      <w:r>
        <w:rPr>
          <w:rFonts w:hint="eastAsia" w:ascii="宋体" w:hAnsi="宋体" w:eastAsia="宋体" w:cs="宋体"/>
          <w:sz w:val="24"/>
          <w:szCs w:val="24"/>
          <w:lang w:val="zh-CN" w:bidi="zh-CN"/>
        </w:rPr>
        <w:t>单位应公开数据采集器接口协议；</w:t>
      </w:r>
    </w:p>
    <w:p>
      <w:pPr>
        <w:keepNext w:val="0"/>
        <w:keepLines w:val="0"/>
        <w:pageBreakBefore w:val="0"/>
        <w:widowControl w:val="0"/>
        <w:numPr>
          <w:ilvl w:val="0"/>
          <w:numId w:val="4"/>
        </w:numPr>
        <w:tabs>
          <w:tab w:val="left" w:pos="1302"/>
          <w:tab w:val="clear" w:pos="840"/>
        </w:tabs>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 xml:space="preserve">★数据采集器下行串口必须为 </w:t>
      </w:r>
      <w:r>
        <w:rPr>
          <w:rFonts w:hint="eastAsia" w:ascii="宋体" w:hAnsi="宋体" w:eastAsia="宋体" w:cs="宋体"/>
          <w:sz w:val="24"/>
          <w:szCs w:val="24"/>
          <w:lang w:val="zh-CN" w:bidi="zh-CN"/>
        </w:rPr>
        <w:t>485</w:t>
      </w:r>
      <w:r>
        <w:rPr>
          <w:rFonts w:hint="eastAsia" w:ascii="宋体" w:hAnsi="宋体" w:eastAsia="宋体" w:cs="宋体"/>
          <w:spacing w:val="-12"/>
          <w:sz w:val="24"/>
          <w:szCs w:val="24"/>
          <w:lang w:val="zh-CN" w:bidi="zh-CN"/>
        </w:rPr>
        <w:t xml:space="preserve"> 串口通讯</w:t>
      </w:r>
    </w:p>
    <w:p>
      <w:pPr>
        <w:keepNext w:val="0"/>
        <w:keepLines w:val="0"/>
        <w:pageBreakBefore w:val="0"/>
        <w:widowControl w:val="0"/>
        <w:numPr>
          <w:ilvl w:val="0"/>
          <w:numId w:val="4"/>
        </w:numPr>
        <w:tabs>
          <w:tab w:val="left" w:pos="1302"/>
          <w:tab w:val="clear" w:pos="840"/>
        </w:tabs>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★一个数据网关至少接</w:t>
      </w:r>
      <w:r>
        <w:rPr>
          <w:rFonts w:hint="eastAsia" w:ascii="宋体" w:hAnsi="宋体" w:eastAsia="宋体" w:cs="宋体"/>
          <w:spacing w:val="-6"/>
          <w:sz w:val="24"/>
          <w:szCs w:val="24"/>
          <w:lang w:bidi="zh-CN"/>
        </w:rPr>
        <w:t>200</w:t>
      </w:r>
      <w:r>
        <w:rPr>
          <w:rFonts w:hint="eastAsia" w:ascii="宋体" w:hAnsi="宋体" w:eastAsia="宋体" w:cs="宋体"/>
          <w:spacing w:val="-15"/>
          <w:sz w:val="24"/>
          <w:szCs w:val="24"/>
          <w:lang w:val="zh-CN" w:bidi="zh-CN"/>
        </w:rPr>
        <w:t>个表具</w:t>
      </w:r>
    </w:p>
    <w:p>
      <w:pPr>
        <w:keepNext w:val="0"/>
        <w:keepLines w:val="0"/>
        <w:pageBreakBefore w:val="0"/>
        <w:widowControl w:val="0"/>
        <w:numPr>
          <w:ilvl w:val="0"/>
          <w:numId w:val="4"/>
        </w:numPr>
        <w:tabs>
          <w:tab w:val="left" w:pos="1310"/>
          <w:tab w:val="clear" w:pos="840"/>
        </w:tabs>
        <w:kinsoku/>
        <w:wordWrap/>
        <w:overflowPunct/>
        <w:topLinePunct w:val="0"/>
        <w:autoSpaceDE w:val="0"/>
        <w:autoSpaceDN w:val="0"/>
        <w:bidi w:val="0"/>
        <w:adjustRightInd/>
        <w:snapToGrid/>
        <w:spacing w:before="160" w:line="360" w:lineRule="auto"/>
        <w:ind w:right="864"/>
        <w:textAlignment w:val="auto"/>
        <w:rPr>
          <w:rFonts w:hint="eastAsia" w:ascii="宋体" w:hAnsi="宋体" w:eastAsia="宋体" w:cs="宋体"/>
          <w:sz w:val="24"/>
          <w:szCs w:val="24"/>
          <w:lang w:val="zh-CN" w:bidi="zh-CN"/>
        </w:rPr>
      </w:pPr>
      <w:r>
        <w:rPr>
          <w:rFonts w:hint="eastAsia" w:ascii="宋体" w:hAnsi="宋体" w:eastAsia="宋体" w:cs="宋体"/>
          <w:spacing w:val="1"/>
          <w:sz w:val="24"/>
          <w:szCs w:val="24"/>
          <w:lang w:val="zh-CN" w:bidi="zh-CN"/>
        </w:rPr>
        <w:t>★数据网关能承受长时间高强度的通讯，数据网关每分钟向软件提供不少于</w:t>
      </w:r>
      <w:r>
        <w:rPr>
          <w:rFonts w:hint="eastAsia" w:ascii="宋体" w:hAnsi="宋体" w:eastAsia="宋体" w:cs="宋体"/>
          <w:sz w:val="24"/>
          <w:szCs w:val="24"/>
          <w:lang w:val="zh-CN" w:bidi="zh-CN"/>
        </w:rPr>
        <w:t>40K的数据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p>
    <w:p>
      <w:pPr>
        <w:keepNext w:val="0"/>
        <w:keepLines w:val="0"/>
        <w:pageBreakBefore w:val="0"/>
        <w:widowControl w:val="0"/>
        <w:numPr>
          <w:ilvl w:val="2"/>
          <w:numId w:val="3"/>
        </w:numPr>
        <w:tabs>
          <w:tab w:val="left" w:pos="826"/>
        </w:tabs>
        <w:kinsoku/>
        <w:wordWrap/>
        <w:overflowPunct/>
        <w:topLinePunct w:val="0"/>
        <w:autoSpaceDE w:val="0"/>
        <w:autoSpaceDN w:val="0"/>
        <w:bidi w:val="0"/>
        <w:adjustRightInd/>
        <w:snapToGrid/>
        <w:spacing w:line="360" w:lineRule="auto"/>
        <w:ind w:left="0" w:leftChars="0" w:firstLine="0" w:firstLineChars="0"/>
        <w:textAlignment w:val="auto"/>
        <w:outlineLvl w:val="5"/>
        <w:rPr>
          <w:rFonts w:hint="eastAsia" w:ascii="宋体" w:hAnsi="宋体" w:eastAsia="宋体" w:cs="宋体"/>
          <w:b/>
          <w:bCs/>
          <w:sz w:val="24"/>
          <w:szCs w:val="24"/>
          <w:lang w:val="zh-CN" w:bidi="zh-CN"/>
        </w:rPr>
      </w:pPr>
      <w:r>
        <w:rPr>
          <w:rFonts w:hint="eastAsia" w:ascii="宋体" w:hAnsi="宋体" w:eastAsia="宋体" w:cs="宋体"/>
          <w:b/>
          <w:bCs/>
          <w:sz w:val="24"/>
          <w:szCs w:val="24"/>
          <w:lang w:bidi="zh-CN"/>
        </w:rPr>
        <w:t xml:space="preserve"> </w:t>
      </w:r>
      <w:r>
        <w:rPr>
          <w:rFonts w:hint="eastAsia" w:ascii="宋体" w:hAnsi="宋体" w:eastAsia="宋体" w:cs="宋体"/>
          <w:b/>
          <w:bCs/>
          <w:sz w:val="24"/>
          <w:szCs w:val="24"/>
          <w:lang w:val="zh-CN" w:bidi="zh-CN"/>
        </w:rPr>
        <w:t>对接成功后的产品功能</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en-US" w:bidi="zh-CN"/>
        </w:rPr>
        <w:t>网</w:t>
      </w:r>
      <w:r>
        <w:rPr>
          <w:rFonts w:hint="eastAsia" w:ascii="宋体" w:hAnsi="宋体" w:eastAsia="宋体" w:cs="宋体"/>
          <w:sz w:val="24"/>
          <w:szCs w:val="24"/>
          <w:lang w:val="zh-CN" w:bidi="zh-CN"/>
        </w:rPr>
        <w:t>关能实时对每个电表的情况进行实时采集，如电表用量、电表当前状态、电表告警信息等，单个电表的信息采集时间≤300ms</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通过电容触摸屏有权限的用户可以对网关地址、网关名称、服务器的地址、数据上报时间间隔（1 分钟到 60 分钟可配置）、用电定时控制策略等进行设置；</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通过电容触摸屏有权限的用户可以直接通过数据网关上的触摸屏，查询到对应水电表的总用电量、总购电量、历史数据、电表状态、告警数据等。</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在紧急情况下，有权限的用户可以通过电容触摸屏直接对电表进行供电或断电等应急控制。</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当用户有低电、过流、恶性负载等告警信息时，数据网关的显示屏会实时有图标闪烁，并有声音提示。</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支持断点续传</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定时管理表具开关、限流、恶性负载功能</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对上位机与网关之间通过标准 XML 文档进行传输并解析</w:t>
      </w:r>
    </w:p>
    <w:p>
      <w:pPr>
        <w:keepNext w:val="0"/>
        <w:keepLines w:val="0"/>
        <w:pageBreakBefore w:val="0"/>
        <w:widowControl w:val="0"/>
        <w:numPr>
          <w:ilvl w:val="0"/>
          <w:numId w:val="5"/>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★网关自动解释各种计量的协议，无缝对接各类表具，包括单相电能表、三相电能表、多功能电能表、水表、燃气表、热量表、冷量表等。</w:t>
      </w:r>
    </w:p>
    <w:p>
      <w:pPr>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rFonts w:hint="eastAsia" w:ascii="宋体" w:hAnsi="宋体" w:eastAsia="宋体" w:cs="宋体"/>
          <w:sz w:val="24"/>
          <w:szCs w:val="24"/>
          <w:lang w:val="zh-CN" w:bidi="zh-CN"/>
        </w:rPr>
      </w:pPr>
    </w:p>
    <w:p>
      <w:pPr>
        <w:keepNext w:val="0"/>
        <w:keepLines w:val="0"/>
        <w:pageBreakBefore w:val="0"/>
        <w:widowControl w:val="0"/>
        <w:numPr>
          <w:ilvl w:val="1"/>
          <w:numId w:val="3"/>
        </w:numPr>
        <w:tabs>
          <w:tab w:val="left" w:pos="586"/>
        </w:tabs>
        <w:kinsoku/>
        <w:wordWrap/>
        <w:overflowPunct/>
        <w:topLinePunct w:val="0"/>
        <w:autoSpaceDE w:val="0"/>
        <w:autoSpaceDN w:val="0"/>
        <w:bidi w:val="0"/>
        <w:adjustRightInd/>
        <w:snapToGrid/>
        <w:spacing w:before="1" w:line="360" w:lineRule="auto"/>
        <w:ind w:left="366" w:leftChars="0" w:hanging="366" w:firstLineChars="0"/>
        <w:textAlignment w:val="auto"/>
        <w:outlineLvl w:val="5"/>
        <w:rPr>
          <w:rFonts w:hint="eastAsia" w:ascii="宋体" w:hAnsi="宋体" w:eastAsia="宋体" w:cs="宋体"/>
          <w:b/>
          <w:sz w:val="24"/>
          <w:szCs w:val="24"/>
          <w:lang w:val="zh-CN" w:bidi="zh-CN"/>
        </w:rPr>
      </w:pPr>
      <w:r>
        <w:rPr>
          <w:rFonts w:hint="eastAsia" w:ascii="宋体" w:hAnsi="宋体" w:eastAsia="宋体" w:cs="宋体"/>
          <w:b/>
          <w:bCs/>
          <w:sz w:val="24"/>
          <w:szCs w:val="24"/>
          <w:lang w:bidi="zh-CN"/>
        </w:rPr>
        <w:t xml:space="preserve"> </w:t>
      </w:r>
      <w:r>
        <w:rPr>
          <w:rFonts w:hint="eastAsia" w:ascii="宋体" w:hAnsi="宋体" w:eastAsia="宋体" w:cs="宋体"/>
          <w:b/>
          <w:bCs/>
          <w:sz w:val="24"/>
          <w:szCs w:val="24"/>
          <w:lang w:val="zh-CN" w:bidi="zh-CN"/>
        </w:rPr>
        <w:t>智能模块</w:t>
      </w:r>
    </w:p>
    <w:p>
      <w:pPr>
        <w:keepNext w:val="0"/>
        <w:keepLines w:val="0"/>
        <w:pageBreakBefore w:val="0"/>
        <w:widowControl w:val="0"/>
        <w:numPr>
          <w:ilvl w:val="2"/>
          <w:numId w:val="3"/>
        </w:numPr>
        <w:tabs>
          <w:tab w:val="left" w:pos="826"/>
        </w:tabs>
        <w:kinsoku/>
        <w:wordWrap/>
        <w:overflowPunct/>
        <w:topLinePunct w:val="0"/>
        <w:autoSpaceDE w:val="0"/>
        <w:autoSpaceDN w:val="0"/>
        <w:bidi w:val="0"/>
        <w:adjustRightInd/>
        <w:snapToGrid/>
        <w:spacing w:line="360" w:lineRule="auto"/>
        <w:ind w:left="0" w:leftChars="0" w:firstLine="0" w:firstLineChars="0"/>
        <w:textAlignment w:val="auto"/>
        <w:outlineLvl w:val="5"/>
        <w:rPr>
          <w:rFonts w:hint="eastAsia" w:ascii="宋体" w:hAnsi="宋体" w:eastAsia="宋体" w:cs="宋体"/>
          <w:b/>
          <w:bCs/>
          <w:sz w:val="24"/>
          <w:szCs w:val="24"/>
          <w:lang w:val="zh-CN" w:bidi="zh-CN"/>
        </w:rPr>
      </w:pPr>
      <w:r>
        <w:rPr>
          <w:rFonts w:hint="eastAsia" w:ascii="宋体" w:hAnsi="宋体" w:eastAsia="宋体" w:cs="宋体"/>
          <w:b/>
          <w:bCs/>
          <w:sz w:val="24"/>
          <w:szCs w:val="24"/>
          <w:lang w:bidi="zh-CN"/>
        </w:rPr>
        <w:t xml:space="preserve"> </w:t>
      </w:r>
      <w:r>
        <w:rPr>
          <w:rFonts w:hint="eastAsia" w:ascii="宋体" w:hAnsi="宋体" w:eastAsia="宋体" w:cs="宋体"/>
          <w:b/>
          <w:bCs/>
          <w:sz w:val="24"/>
          <w:szCs w:val="24"/>
          <w:lang w:val="zh-CN" w:bidi="zh-CN"/>
        </w:rPr>
        <w:t>技术参数</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●计量精度：B 级（提供产品符合GB/T17215-2021的型评证书）；</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●额定电流：0.25-0.5（40）A（提供产品符合GB/T17215-2021的型评证书）；</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额定电压：220V；</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脉冲常数：1200imp/kW·h；</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额定频率：50Hz；</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电压线路有功功率消耗：≤1W；</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绝缘电阻：≥5MΩ；</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数据保存：断电后，数据保存时间≥10 年；</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标准工作温度：-10℃～+55℃；</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极限工作温度：-30℃～+55℃；</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相对湿度：≤85%RH；</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485 通讯，波特率 2400/9600 可设；</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电表响应时间&lt;100ms；</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EMC 抗扰度能达到 B 级标准；</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有功电能计量，长期工作免调校；</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具有双向计量功能，能够精确测量反正两个方向功率，且以一个方向累计电量，因而本产品具有防窃电功能；</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●通过RS485总线与网关配合，自动组网，更换表具后不需要与平台进行重复设置，可实现直接自动通讯，提高维护效率。（提供国家认可的第三方检测机构出具的检测报告）</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●通过蓝牙直接和手机app连接，实现现场电表不通讯或其他异常情况下的应急控制和脱机售电功能。（提供国家认可的第三方检测机构出具的检测报告）</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内置继电器和控制、计量程序，可自主进行计量、检测、控制等；</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模块式计量，采用挺拔式安装方式；</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具有远程自动停送电功能；采用一户一表，独立封装（非多用户表）；</w:t>
      </w:r>
    </w:p>
    <w:p>
      <w:pPr>
        <w:keepNext w:val="0"/>
        <w:keepLines w:val="0"/>
        <w:pageBreakBefore w:val="0"/>
        <w:widowControl w:val="0"/>
        <w:numPr>
          <w:ilvl w:val="0"/>
          <w:numId w:val="6"/>
        </w:numPr>
        <w:tabs>
          <w:tab w:val="left" w:pos="420"/>
        </w:tabs>
        <w:kinsoku/>
        <w:wordWrap/>
        <w:overflowPunct/>
        <w:topLinePunct w:val="0"/>
        <w:autoSpaceDE w:val="0"/>
        <w:autoSpaceDN w:val="0"/>
        <w:bidi w:val="0"/>
        <w:adjustRightInd/>
        <w:snapToGrid/>
        <w:spacing w:before="161" w:line="360" w:lineRule="auto"/>
        <w:ind w:left="0" w:leftChars="0" w:firstLine="480" w:firstLineChars="200"/>
        <w:textAlignment w:val="auto"/>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●电表拥有电瓶车充电识别功能，一旦发现电瓶车充电可实现自动关断，从而保证用电安全。（提供国家认可的第三方检测机构出具的检测报告）</w:t>
      </w:r>
    </w:p>
    <w:p>
      <w:pPr>
        <w:keepNext w:val="0"/>
        <w:keepLines w:val="0"/>
        <w:pageBreakBefore w:val="0"/>
        <w:widowControl w:val="0"/>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highlight w:val="none"/>
          <w:lang w:val="zh-CN" w:bidi="zh-CN"/>
        </w:rPr>
      </w:pPr>
    </w:p>
    <w:p>
      <w:pPr>
        <w:keepNext w:val="0"/>
        <w:keepLines w:val="0"/>
        <w:pageBreakBefore w:val="0"/>
        <w:widowControl w:val="0"/>
        <w:numPr>
          <w:ilvl w:val="2"/>
          <w:numId w:val="3"/>
        </w:numPr>
        <w:tabs>
          <w:tab w:val="left" w:pos="881"/>
        </w:tabs>
        <w:kinsoku/>
        <w:wordWrap/>
        <w:overflowPunct/>
        <w:topLinePunct w:val="0"/>
        <w:autoSpaceDE w:val="0"/>
        <w:autoSpaceDN w:val="0"/>
        <w:bidi w:val="0"/>
        <w:adjustRightInd/>
        <w:snapToGrid/>
        <w:spacing w:before="2" w:line="360" w:lineRule="auto"/>
        <w:ind w:left="661" w:leftChars="0" w:hanging="661" w:firstLineChars="0"/>
        <w:textAlignment w:val="auto"/>
        <w:outlineLvl w:val="5"/>
        <w:rPr>
          <w:rFonts w:hint="eastAsia" w:ascii="宋体" w:hAnsi="宋体" w:eastAsia="宋体" w:cs="宋体"/>
          <w:b/>
          <w:bCs/>
          <w:sz w:val="24"/>
          <w:szCs w:val="24"/>
          <w:highlight w:val="none"/>
          <w:lang w:val="zh-CN" w:bidi="zh-CN"/>
        </w:rPr>
      </w:pPr>
      <w:r>
        <w:rPr>
          <w:rFonts w:hint="eastAsia" w:ascii="宋体" w:hAnsi="宋体" w:eastAsia="宋体" w:cs="宋体"/>
          <w:b/>
          <w:bCs/>
          <w:sz w:val="24"/>
          <w:szCs w:val="24"/>
          <w:highlight w:val="none"/>
          <w:lang w:val="zh-CN" w:bidi="zh-CN"/>
        </w:rPr>
        <w:t>对接要求</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★中标单位应公开计量表具接口协议；</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★电表必须支持以 10 秒一次的数据读取间隔时间提供总购电量、剩余电量、总用电量等数据至上层软件；</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★表具能够承受频繁的读写操作，至少 2 次每秒；</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★必要时可跳过数据采集器对表具直接进行指令操作；</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161"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★现有收费系统通过数据采集器对表具发命令到表具返回命令给数据采集器的延时最</w:t>
      </w:r>
      <w:r>
        <w:rPr>
          <w:rFonts w:hint="eastAsia" w:ascii="宋体" w:hAnsi="宋体" w:eastAsia="宋体" w:cs="宋体"/>
          <w:spacing w:val="-16"/>
          <w:sz w:val="24"/>
          <w:szCs w:val="24"/>
          <w:lang w:val="zh-CN" w:bidi="zh-CN"/>
        </w:rPr>
        <w:t xml:space="preserve">多不超过 </w:t>
      </w:r>
      <w:r>
        <w:rPr>
          <w:rFonts w:hint="eastAsia" w:ascii="宋体" w:hAnsi="宋体" w:eastAsia="宋体" w:cs="宋体"/>
          <w:sz w:val="24"/>
          <w:szCs w:val="24"/>
          <w:lang w:val="zh-CN" w:bidi="zh-CN"/>
        </w:rPr>
        <w:t>300ms。</w:t>
      </w:r>
    </w:p>
    <w:p>
      <w:pPr>
        <w:keepNext w:val="0"/>
        <w:keepLines w:val="0"/>
        <w:pageBreakBefore w:val="0"/>
        <w:widowControl w:val="0"/>
        <w:kinsoku/>
        <w:wordWrap/>
        <w:overflowPunct/>
        <w:topLinePunct w:val="0"/>
        <w:autoSpaceDE w:val="0"/>
        <w:autoSpaceDN w:val="0"/>
        <w:bidi w:val="0"/>
        <w:adjustRightInd/>
        <w:snapToGrid/>
        <w:spacing w:before="161" w:line="360" w:lineRule="auto"/>
        <w:ind w:left="420"/>
        <w:textAlignment w:val="auto"/>
        <w:rPr>
          <w:rFonts w:hint="eastAsia" w:ascii="宋体" w:hAnsi="宋体" w:eastAsia="宋体" w:cs="宋体"/>
          <w:sz w:val="24"/>
          <w:szCs w:val="24"/>
          <w:lang w:val="zh-CN" w:bidi="zh-CN"/>
        </w:rPr>
      </w:pPr>
    </w:p>
    <w:p>
      <w:pPr>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2.3智能导轨模块</w:t>
      </w:r>
    </w:p>
    <w:p>
      <w:pPr>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宋体" w:hAnsi="宋体" w:eastAsia="宋体" w:cs="宋体"/>
          <w:b/>
          <w:bCs/>
          <w:sz w:val="24"/>
          <w:szCs w:val="24"/>
          <w:lang w:bidi="zh-CN"/>
        </w:rPr>
      </w:pPr>
    </w:p>
    <w:p>
      <w:pPr>
        <w:keepNext w:val="0"/>
        <w:keepLines w:val="0"/>
        <w:pageBreakBefore w:val="0"/>
        <w:widowControl w:val="0"/>
        <w:tabs>
          <w:tab w:val="left" w:pos="826"/>
        </w:tabs>
        <w:kinsoku/>
        <w:wordWrap/>
        <w:overflowPunct/>
        <w:topLinePunct w:val="0"/>
        <w:autoSpaceDE w:val="0"/>
        <w:autoSpaceDN w:val="0"/>
        <w:bidi w:val="0"/>
        <w:adjustRightInd/>
        <w:snapToGrid/>
        <w:spacing w:before="1" w:line="360" w:lineRule="auto"/>
        <w:ind w:left="0" w:leftChars="0" w:firstLine="0" w:firstLineChars="0"/>
        <w:textAlignment w:val="auto"/>
        <w:outlineLvl w:val="5"/>
        <w:rPr>
          <w:rFonts w:hint="eastAsia" w:ascii="宋体" w:hAnsi="宋体" w:eastAsia="宋体" w:cs="宋体"/>
          <w:b/>
          <w:bCs/>
          <w:sz w:val="24"/>
          <w:szCs w:val="24"/>
          <w:lang w:val="zh-CN" w:bidi="zh-CN"/>
        </w:rPr>
      </w:pPr>
      <w:r>
        <w:rPr>
          <w:rFonts w:hint="eastAsia" w:ascii="宋体" w:hAnsi="宋体" w:eastAsia="宋体" w:cs="宋体"/>
          <w:b/>
          <w:bCs/>
          <w:sz w:val="24"/>
          <w:szCs w:val="24"/>
          <w:lang w:bidi="zh-CN"/>
        </w:rPr>
        <w:t xml:space="preserve">2.3.1 </w:t>
      </w:r>
      <w:r>
        <w:rPr>
          <w:rFonts w:hint="eastAsia" w:ascii="宋体" w:hAnsi="宋体" w:eastAsia="宋体" w:cs="宋体"/>
          <w:b/>
          <w:bCs/>
          <w:sz w:val="24"/>
          <w:szCs w:val="24"/>
          <w:lang w:val="zh-CN" w:bidi="zh-CN"/>
        </w:rPr>
        <w:t>技术参数</w:t>
      </w:r>
    </w:p>
    <w:p>
      <w:pPr>
        <w:keepNext w:val="0"/>
        <w:keepLines w:val="0"/>
        <w:pageBreakBefore w:val="0"/>
        <w:widowControl w:val="0"/>
        <w:kinsoku/>
        <w:wordWrap/>
        <w:overflowPunct/>
        <w:topLinePunct w:val="0"/>
        <w:autoSpaceDE w:val="0"/>
        <w:autoSpaceDN w:val="0"/>
        <w:bidi w:val="0"/>
        <w:adjustRightInd/>
        <w:snapToGrid/>
        <w:spacing w:line="360" w:lineRule="auto"/>
        <w:ind w:left="220"/>
        <w:textAlignment w:val="auto"/>
        <w:rPr>
          <w:rFonts w:hint="eastAsia" w:ascii="宋体" w:hAnsi="宋体" w:eastAsia="宋体" w:cs="宋体"/>
          <w:sz w:val="24"/>
          <w:szCs w:val="24"/>
          <w:lang w:bidi="zh-CN"/>
        </w:rPr>
      </w:pP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●额定电流：0.25-0.5（40）A</w:t>
      </w:r>
      <w:r>
        <w:rPr>
          <w:rFonts w:hint="eastAsia" w:ascii="宋体" w:hAnsi="宋体" w:eastAsia="宋体" w:cs="宋体"/>
          <w:kern w:val="0"/>
          <w:sz w:val="24"/>
          <w:szCs w:val="24"/>
          <w:lang w:val="zh-CN" w:bidi="zh-CN"/>
        </w:rPr>
        <w:t>（提供产品符合GB/T17215-2021的型评证书）；</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●计量精度：B级</w:t>
      </w:r>
      <w:r>
        <w:rPr>
          <w:rFonts w:hint="eastAsia" w:ascii="宋体" w:hAnsi="宋体" w:eastAsia="宋体" w:cs="宋体"/>
          <w:kern w:val="0"/>
          <w:sz w:val="24"/>
          <w:szCs w:val="24"/>
          <w:lang w:val="zh-CN" w:bidi="zh-CN"/>
        </w:rPr>
        <w:t>（提供产品符合GB/T17215-2021的型评证书）；</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额定电压：220V</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脉冲常数：1200imp/kW·h</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额定频率：50Hz绝缘电阻：≥5MΩ</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参数保存：≥10年</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工作温度： -30℃～+55℃相对湿度：≤85%RH</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bidi="zh-CN"/>
        </w:rPr>
      </w:pPr>
      <w:r>
        <w:rPr>
          <w:rFonts w:hint="eastAsia" w:ascii="宋体" w:hAnsi="宋体" w:eastAsia="宋体" w:cs="宋体"/>
          <w:kern w:val="0"/>
          <w:sz w:val="24"/>
          <w:szCs w:val="24"/>
          <w:lang w:bidi="zh-CN"/>
        </w:rPr>
        <w:t>电表响应时间：&lt;100ms</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一户一表非多用户表</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EMC抗扰度：B级</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根据现场安装条件电表外壳尺寸不宜超过（毫米）：45.5*110*83.5</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电表会自动记录一些相关信息，防止外部的干扰破坏正常用</w:t>
      </w:r>
      <w:r>
        <w:rPr>
          <w:rFonts w:hint="eastAsia" w:ascii="宋体" w:hAnsi="宋体" w:eastAsia="宋体" w:cs="宋体"/>
          <w:kern w:val="0"/>
          <w:sz w:val="24"/>
          <w:szCs w:val="24"/>
          <w:lang w:bidi="zh-CN"/>
        </w:rPr>
        <w:t>.</w:t>
      </w:r>
      <w:r>
        <w:rPr>
          <w:rFonts w:hint="eastAsia" w:ascii="宋体" w:hAnsi="宋体" w:eastAsia="宋体" w:cs="宋体"/>
          <w:kern w:val="0"/>
          <w:sz w:val="24"/>
          <w:szCs w:val="24"/>
          <w:lang w:val="zh-CN" w:bidi="zh-CN"/>
        </w:rPr>
        <w:t>电表轮询显示的内容为：实时功率、已用电量、电表报警信息和剩余电量，电表的当前温度、日期时间、电压，</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电表通讯波特率2400bps和9600bps可设置，默认出厂波特率9600bps</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自带过流断电和恶性负载识别功能，可通过系统设置识别参数保证安全用电。</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电表自带时钟，时钟误差为0.5s/d</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w:t>
      </w:r>
      <w:r>
        <w:rPr>
          <w:rFonts w:hint="eastAsia" w:ascii="宋体" w:hAnsi="宋体" w:eastAsia="宋体" w:cs="宋体"/>
          <w:kern w:val="0"/>
          <w:sz w:val="24"/>
          <w:szCs w:val="24"/>
          <w:lang w:val="zh-CN" w:bidi="zh-CN"/>
        </w:rPr>
        <w:t>电表自带温度报警保护功能，超过设定温度会报警和关断继电器保证用电安全，一般设置为55℃报警，70℃直接关断继电器。</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w:t>
      </w:r>
      <w:r>
        <w:rPr>
          <w:rFonts w:hint="eastAsia" w:ascii="宋体" w:hAnsi="宋体" w:eastAsia="宋体" w:cs="宋体"/>
          <w:kern w:val="0"/>
          <w:sz w:val="24"/>
          <w:szCs w:val="24"/>
          <w:lang w:val="zh-CN" w:bidi="zh-CN"/>
        </w:rPr>
        <w:t>电表自带脱机保电功能，当电表与上层软件通讯中断超过设定时间，电表会进入保电状态，在该状态下电表不对切断对后端的供电，直到电表与上层软件恢复通讯，电表会退出保电状态，保电状态可选择由表具自动激活或给电表重新上电后激活。</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电表宽电压工作范围，在170V-260V电压下可正常工作。</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欠压过压保护功能，电表在电网电压低于198V或高于242V时会立即切断对后端的供电，保证用户用电安全，当电网电压恢复到198-242之间并稳定后，电表会恢复对后端的供电。</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空调专线功能，电表可指定为空调专线，在该回路上只能使用空调，空调插头移除、插入其他非空调负载均会导致电表切断对后端的供电。</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电表支持电量计费模式和金额计费模式，当电表中余额不足时会切断对后端的供电或者限制最大可用功率，关断或限制功率的操作可自主选择生效的时间段。在金额计费模式下，电表支持付费率和阶梯电价。</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w:t>
      </w:r>
      <w:r>
        <w:rPr>
          <w:rFonts w:hint="eastAsia" w:ascii="宋体" w:hAnsi="宋体" w:eastAsia="宋体" w:cs="宋体"/>
          <w:kern w:val="0"/>
          <w:sz w:val="24"/>
          <w:szCs w:val="24"/>
          <w:lang w:val="zh-CN" w:bidi="zh-CN"/>
        </w:rPr>
        <w:t>电表拥有电瓶车充电识别功能，一旦发现电瓶车充电可实现自动关断，从而保证用电安全。（</w:t>
      </w:r>
      <w:r>
        <w:rPr>
          <w:rFonts w:hint="eastAsia" w:ascii="宋体" w:hAnsi="宋体" w:eastAsia="宋体" w:cs="宋体"/>
          <w:kern w:val="0"/>
          <w:sz w:val="24"/>
          <w:szCs w:val="24"/>
          <w:lang w:bidi="zh-CN"/>
        </w:rPr>
        <w:t>提供国家认可的第三方检测机构出具的检测报告</w:t>
      </w:r>
      <w:r>
        <w:rPr>
          <w:rFonts w:hint="eastAsia" w:ascii="宋体" w:hAnsi="宋体" w:eastAsia="宋体" w:cs="宋体"/>
          <w:kern w:val="0"/>
          <w:sz w:val="24"/>
          <w:szCs w:val="24"/>
          <w:lang w:val="zh-CN" w:bidi="zh-CN"/>
        </w:rPr>
        <w:t>）</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电表支持超负荷控制功能，当电表线路上总功率超过设定值，电表会自动切断对后端供电，之后可选择自动送电，自动送电的延迟和次数可设，电表会记录最近20次的超负荷产生的时间、线路上的总功率。</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w:t>
      </w:r>
      <w:r>
        <w:rPr>
          <w:rFonts w:hint="eastAsia" w:ascii="宋体" w:hAnsi="宋体" w:eastAsia="宋体" w:cs="宋体"/>
          <w:kern w:val="0"/>
          <w:sz w:val="24"/>
          <w:szCs w:val="24"/>
          <w:lang w:val="zh-CN" w:bidi="zh-CN"/>
        </w:rPr>
        <w:t>电表支持负载控制功能，当电表线路上接入大功率发热电器，电表会自动切断对后端供电，之后可选择自动送电，自动送电的延迟和次数可设，电表会记录最近20次的负载产生的时间、线路上的各种参数。</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●安全用电检测功能：电表能够实现可以检测电表后端中产生电弧的功能，电表检测到电弧后会对电表出线端进行断电保护，保护电表后端用电器，确保安全。</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提供国家认可的第三方检测机构出具的检测报告</w:t>
      </w:r>
      <w:r>
        <w:rPr>
          <w:rFonts w:hint="eastAsia" w:ascii="宋体" w:hAnsi="宋体" w:eastAsia="宋体" w:cs="宋体"/>
          <w:kern w:val="0"/>
          <w:sz w:val="24"/>
          <w:szCs w:val="24"/>
          <w:lang w:val="zh-CN" w:bidi="zh-CN"/>
        </w:rPr>
        <w:t>）</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bidi="zh-CN"/>
        </w:rPr>
        <w:t>●通过RS485总线与网关配合，自动组网，更换表具后不需要与平台进行重复设置，可实现直接自动通讯，提高维护效率。</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提供国家认可的第三方检测机构出具的检测报告</w:t>
      </w:r>
      <w:r>
        <w:rPr>
          <w:rFonts w:hint="eastAsia" w:ascii="宋体" w:hAnsi="宋体" w:eastAsia="宋体" w:cs="宋体"/>
          <w:kern w:val="0"/>
          <w:sz w:val="24"/>
          <w:szCs w:val="24"/>
          <w:lang w:val="zh-CN" w:bidi="zh-CN"/>
        </w:rPr>
        <w:t>）</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sz w:val="24"/>
          <w:szCs w:val="24"/>
          <w:lang w:val="zh-CN" w:bidi="zh-CN"/>
        </w:rPr>
      </w:pPr>
      <w:r>
        <w:rPr>
          <w:rFonts w:hint="eastAsia" w:ascii="宋体" w:hAnsi="宋体" w:eastAsia="宋体" w:cs="宋体"/>
          <w:kern w:val="0"/>
          <w:sz w:val="24"/>
          <w:szCs w:val="24"/>
          <w:lang w:bidi="zh-CN"/>
        </w:rPr>
        <w:t>●</w:t>
      </w:r>
      <w:r>
        <w:rPr>
          <w:rFonts w:hint="eastAsia" w:ascii="宋体" w:hAnsi="宋体" w:eastAsia="宋体" w:cs="宋体"/>
          <w:sz w:val="24"/>
          <w:szCs w:val="24"/>
        </w:rPr>
        <w:t>通过蓝牙直接和手机app连接，实现现场电表不通讯或其他异常情况下的应急控制和脱机售电功能。</w:t>
      </w:r>
      <w:r>
        <w:rPr>
          <w:rFonts w:hint="eastAsia" w:ascii="宋体" w:hAnsi="宋体" w:eastAsia="宋体" w:cs="宋体"/>
          <w:sz w:val="24"/>
          <w:szCs w:val="24"/>
          <w:lang w:val="zh-CN" w:bidi="zh-CN"/>
        </w:rPr>
        <w:t>（</w:t>
      </w:r>
      <w:r>
        <w:rPr>
          <w:rFonts w:hint="eastAsia" w:ascii="宋体" w:hAnsi="宋体" w:eastAsia="宋体" w:cs="宋体"/>
          <w:sz w:val="24"/>
          <w:szCs w:val="24"/>
        </w:rPr>
        <w:t>提供国家认可的第三方检测机构出具的检测报告</w:t>
      </w:r>
      <w:r>
        <w:rPr>
          <w:rFonts w:hint="eastAsia" w:ascii="宋体" w:hAnsi="宋体" w:eastAsia="宋体" w:cs="宋体"/>
          <w:sz w:val="24"/>
          <w:szCs w:val="24"/>
          <w:lang w:val="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p>
    <w:p>
      <w:pPr>
        <w:keepNext w:val="0"/>
        <w:keepLines w:val="0"/>
        <w:pageBreakBefore w:val="0"/>
        <w:widowControl w:val="0"/>
        <w:tabs>
          <w:tab w:val="left" w:pos="881"/>
        </w:tabs>
        <w:kinsoku/>
        <w:wordWrap/>
        <w:overflowPunct/>
        <w:topLinePunct w:val="0"/>
        <w:autoSpaceDE w:val="0"/>
        <w:autoSpaceDN w:val="0"/>
        <w:bidi w:val="0"/>
        <w:adjustRightInd/>
        <w:snapToGrid/>
        <w:spacing w:before="2" w:line="360" w:lineRule="auto"/>
        <w:ind w:left="219"/>
        <w:textAlignment w:val="auto"/>
        <w:outlineLvl w:val="5"/>
        <w:rPr>
          <w:rFonts w:hint="eastAsia" w:ascii="宋体" w:hAnsi="宋体" w:eastAsia="宋体" w:cs="宋体"/>
          <w:b/>
          <w:bCs/>
          <w:sz w:val="24"/>
          <w:szCs w:val="24"/>
          <w:lang w:val="zh-CN" w:bidi="zh-CN"/>
        </w:rPr>
      </w:pPr>
      <w:r>
        <w:rPr>
          <w:rFonts w:hint="eastAsia" w:ascii="宋体" w:hAnsi="宋体" w:eastAsia="宋体" w:cs="宋体"/>
          <w:b/>
          <w:bCs/>
          <w:sz w:val="24"/>
          <w:szCs w:val="24"/>
          <w:lang w:bidi="zh-CN"/>
        </w:rPr>
        <w:t xml:space="preserve">2.3.3 </w:t>
      </w:r>
      <w:r>
        <w:rPr>
          <w:rFonts w:hint="eastAsia" w:ascii="宋体" w:hAnsi="宋体" w:eastAsia="宋体" w:cs="宋体"/>
          <w:b/>
          <w:bCs/>
          <w:sz w:val="24"/>
          <w:szCs w:val="24"/>
          <w:lang w:val="zh-CN" w:bidi="zh-CN"/>
        </w:rPr>
        <w:t>对接要求</w:t>
      </w:r>
    </w:p>
    <w:p>
      <w:pPr>
        <w:keepNext w:val="0"/>
        <w:keepLines w:val="0"/>
        <w:pageBreakBefore w:val="0"/>
        <w:widowControl w:val="0"/>
        <w:tabs>
          <w:tab w:val="left" w:pos="881"/>
        </w:tabs>
        <w:kinsoku/>
        <w:wordWrap/>
        <w:overflowPunct/>
        <w:topLinePunct w:val="0"/>
        <w:autoSpaceDE w:val="0"/>
        <w:autoSpaceDN w:val="0"/>
        <w:bidi w:val="0"/>
        <w:adjustRightInd/>
        <w:snapToGrid/>
        <w:spacing w:before="2" w:line="360" w:lineRule="auto"/>
        <w:ind w:left="219"/>
        <w:textAlignment w:val="auto"/>
        <w:outlineLvl w:val="5"/>
        <w:rPr>
          <w:rFonts w:hint="eastAsia" w:ascii="宋体" w:hAnsi="宋体" w:eastAsia="宋体" w:cs="宋体"/>
          <w:b/>
          <w:bCs/>
          <w:sz w:val="24"/>
          <w:szCs w:val="24"/>
          <w:lang w:val="zh-CN" w:bidi="zh-CN"/>
        </w:rPr>
      </w:pPr>
    </w:p>
    <w:p>
      <w:pPr>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★中标单位应公开计量表具接口协议；</w:t>
      </w:r>
    </w:p>
    <w:p>
      <w:pPr>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★电表必须支持以 10 秒一次的数据读取间隔时间提供总购电量、剩余电量、总用电量等数据至上层软件；</w:t>
      </w:r>
    </w:p>
    <w:p>
      <w:pPr>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★表具能够承受频繁的读写操作，至少 2 次每秒；</w:t>
      </w:r>
    </w:p>
    <w:p>
      <w:pPr>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★必要时可跳过数据采集器对表具直接进行指令操作；</w:t>
      </w:r>
    </w:p>
    <w:p>
      <w:pPr>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★现有收费系统通过数据采集器对表具发命令到表具返回命令给数据采集器的延时最多不超过 300ms。</w:t>
      </w:r>
    </w:p>
    <w:p>
      <w:pPr>
        <w:keepNext w:val="0"/>
        <w:keepLines w:val="0"/>
        <w:pageBreakBefore w:val="0"/>
        <w:widowControl w:val="0"/>
        <w:kinsoku/>
        <w:wordWrap/>
        <w:overflowPunct/>
        <w:topLinePunct w:val="0"/>
        <w:bidi w:val="0"/>
        <w:adjustRightInd/>
        <w:snapToGrid/>
        <w:spacing w:line="360" w:lineRule="auto"/>
        <w:jc w:val="left"/>
        <w:textAlignment w:val="auto"/>
        <w:rPr>
          <w:rFonts w:hint="eastAsia" w:ascii="黑体" w:hAnsi="黑体" w:eastAsia="黑体"/>
          <w:sz w:val="28"/>
          <w:szCs w:val="28"/>
        </w:rPr>
      </w:pPr>
    </w:p>
    <w:p>
      <w:pPr>
        <w:keepNext w:val="0"/>
        <w:keepLines w:val="0"/>
        <w:pageBreakBefore w:val="0"/>
        <w:widowControl w:val="0"/>
        <w:kinsoku/>
        <w:wordWrap/>
        <w:overflowPunct/>
        <w:topLinePunct w:val="0"/>
        <w:bidi w:val="0"/>
        <w:adjustRightInd/>
        <w:snapToGrid/>
        <w:spacing w:line="360" w:lineRule="auto"/>
        <w:ind w:firstLine="437"/>
        <w:textAlignment w:val="auto"/>
        <w:outlineLvl w:val="1"/>
        <w:rPr>
          <w:rFonts w:hint="eastAsia" w:ascii="宋体" w:hAnsi="宋体" w:eastAsia="宋体"/>
          <w:b/>
          <w:color w:val="auto"/>
          <w:sz w:val="24"/>
          <w:szCs w:val="18"/>
          <w:highlight w:val="none"/>
          <w:lang w:val="en-US" w:eastAsia="zh-CN"/>
        </w:rPr>
      </w:pPr>
      <w:bookmarkStart w:id="7" w:name="_Toc26424"/>
      <w:bookmarkStart w:id="8" w:name="_Toc10540"/>
      <w:bookmarkStart w:id="9" w:name="_Toc9636"/>
      <w:r>
        <w:rPr>
          <w:rFonts w:hint="eastAsia" w:ascii="宋体" w:hAnsi="宋体" w:eastAsia="宋体"/>
          <w:b/>
          <w:color w:val="auto"/>
          <w:sz w:val="24"/>
          <w:szCs w:val="18"/>
          <w:highlight w:val="none"/>
          <w:lang w:val="en-US" w:eastAsia="zh-CN"/>
        </w:rPr>
        <w:t>三、技术要求</w:t>
      </w:r>
      <w:bookmarkEnd w:id="7"/>
      <w:bookmarkEnd w:id="8"/>
      <w:bookmarkEnd w:id="9"/>
    </w:p>
    <w:p>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b/>
          <w:sz w:val="24"/>
          <w:szCs w:val="24"/>
          <w:lang w:val="zh-CN" w:bidi="zh-CN"/>
        </w:rPr>
      </w:pPr>
      <w:r>
        <w:rPr>
          <w:rFonts w:hint="eastAsia" w:ascii="宋体" w:hAnsi="宋体" w:eastAsia="宋体" w:cs="宋体"/>
          <w:b/>
          <w:bCs/>
          <w:kern w:val="2"/>
        </w:rPr>
        <w:t>（一）总体要求：</w:t>
      </w:r>
      <w:r>
        <w:rPr>
          <w:rFonts w:hint="eastAsia" w:ascii="宋体" w:hAnsi="宋体" w:eastAsia="宋体" w:cs="宋体"/>
          <w:lang w:val="zh-CN" w:bidi="zh-CN"/>
        </w:rPr>
        <w:t>本次招标活动只采购硬件设备，并不采购软件系统，新增硬件需公开通讯协议，接入我校丹霞路校区智能电控系统（常电股份ISIMS系统），并提供其所需的数据，要求切合我校的管理要求，实现以下功能：</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48" w:firstLineChars="200"/>
        <w:textAlignment w:val="auto"/>
        <w:rPr>
          <w:rFonts w:hint="eastAsia" w:ascii="宋体" w:hAnsi="宋体" w:eastAsia="宋体" w:cs="宋体"/>
          <w:sz w:val="24"/>
          <w:szCs w:val="24"/>
          <w:lang w:val="zh-CN" w:bidi="zh-CN"/>
        </w:rPr>
      </w:pPr>
      <w:r>
        <w:rPr>
          <w:rFonts w:hint="eastAsia" w:ascii="宋体" w:hAnsi="宋体" w:eastAsia="宋体" w:cs="宋体"/>
          <w:spacing w:val="-8"/>
          <w:sz w:val="24"/>
          <w:szCs w:val="24"/>
          <w:lang w:val="zh-CN" w:bidi="zh-CN"/>
        </w:rPr>
        <w:t>单元用电计量计费：当用户在宿舍里面用电时，表箱中的计量模块会通过采集其脉</w:t>
      </w:r>
      <w:r>
        <w:rPr>
          <w:rFonts w:hint="eastAsia" w:ascii="宋体" w:hAnsi="宋体" w:eastAsia="宋体" w:cs="宋体"/>
          <w:sz w:val="24"/>
          <w:szCs w:val="24"/>
          <w:lang w:val="zh-CN" w:bidi="zh-CN"/>
        </w:rPr>
        <w:t>冲来进行计量（自动累减），</w:t>
      </w:r>
      <w:r>
        <w:rPr>
          <w:rFonts w:hint="eastAsia" w:ascii="宋体" w:hAnsi="宋体" w:eastAsia="宋体" w:cs="宋体"/>
          <w:spacing w:val="-7"/>
          <w:sz w:val="24"/>
          <w:szCs w:val="24"/>
          <w:lang w:val="zh-CN" w:bidi="zh-CN"/>
        </w:rPr>
        <w:t xml:space="preserve">计量模块的精度达 </w:t>
      </w:r>
      <w:r>
        <w:rPr>
          <w:rFonts w:hint="eastAsia" w:ascii="宋体" w:hAnsi="宋体" w:eastAsia="宋体" w:cs="宋体"/>
          <w:sz w:val="24"/>
          <w:szCs w:val="24"/>
          <w:lang w:bidi="zh-CN"/>
        </w:rPr>
        <w:t>B</w:t>
      </w:r>
      <w:r>
        <w:rPr>
          <w:rFonts w:hint="eastAsia" w:ascii="宋体" w:hAnsi="宋体" w:eastAsia="宋体" w:cs="宋体"/>
          <w:spacing w:val="-8"/>
          <w:sz w:val="24"/>
          <w:szCs w:val="24"/>
          <w:lang w:val="zh-CN" w:bidi="zh-CN"/>
        </w:rPr>
        <w:t xml:space="preserve"> 级。通过购电预交电费后，计算机直接将数据给各个对应的宿舍单元的智能电表，系统对宿舍预存电量累减计量，电表模块采用阻燃材料独立封装一户一表。</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z w:val="24"/>
          <w:szCs w:val="24"/>
          <w:lang w:val="zh-CN" w:bidi="zh-CN"/>
        </w:rPr>
      </w:pPr>
      <w:r>
        <w:rPr>
          <w:rFonts w:hint="eastAsia" w:ascii="宋体" w:hAnsi="宋体" w:eastAsia="宋体" w:cs="宋体"/>
          <w:spacing w:val="-1"/>
          <w:sz w:val="24"/>
          <w:szCs w:val="24"/>
          <w:lang w:val="zh-CN" w:bidi="zh-CN"/>
        </w:rPr>
        <w:t>单元预存电量低限提示报警：当宿舍单元所预存</w:t>
      </w:r>
      <w:r>
        <w:rPr>
          <w:rFonts w:hint="eastAsia" w:ascii="宋体" w:hAnsi="宋体" w:eastAsia="宋体" w:cs="宋体"/>
          <w:sz w:val="24"/>
          <w:szCs w:val="24"/>
          <w:lang w:val="zh-CN" w:bidi="zh-CN"/>
        </w:rPr>
        <w:t>（拥有）</w:t>
      </w:r>
      <w:r>
        <w:rPr>
          <w:rFonts w:hint="eastAsia" w:ascii="宋体" w:hAnsi="宋体" w:eastAsia="宋体" w:cs="宋体"/>
          <w:spacing w:val="-2"/>
          <w:sz w:val="24"/>
          <w:szCs w:val="24"/>
          <w:lang w:val="zh-CN" w:bidi="zh-CN"/>
        </w:rPr>
        <w:t>的电量已减到设定低限</w:t>
      </w:r>
      <w:r>
        <w:rPr>
          <w:rFonts w:hint="eastAsia" w:ascii="宋体" w:hAnsi="宋体" w:eastAsia="宋体" w:cs="宋体"/>
          <w:sz w:val="24"/>
          <w:szCs w:val="24"/>
          <w:lang w:val="zh-CN" w:bidi="zh-CN"/>
        </w:rPr>
        <w:t>值时（</w:t>
      </w:r>
      <w:r>
        <w:rPr>
          <w:rFonts w:hint="eastAsia" w:ascii="宋体" w:hAnsi="宋体" w:eastAsia="宋体" w:cs="宋体"/>
          <w:spacing w:val="-16"/>
          <w:sz w:val="24"/>
          <w:szCs w:val="24"/>
          <w:lang w:val="zh-CN" w:bidi="zh-CN"/>
        </w:rPr>
        <w:t xml:space="preserve">一般为 </w:t>
      </w:r>
      <w:r>
        <w:rPr>
          <w:rFonts w:hint="eastAsia" w:ascii="宋体" w:hAnsi="宋体" w:eastAsia="宋体" w:cs="宋体"/>
          <w:sz w:val="24"/>
          <w:szCs w:val="24"/>
          <w:lang w:val="zh-CN" w:bidi="zh-CN"/>
        </w:rPr>
        <w:t>5</w:t>
      </w:r>
      <w:r>
        <w:rPr>
          <w:rFonts w:hint="eastAsia" w:ascii="宋体" w:hAnsi="宋体" w:eastAsia="宋体" w:cs="宋体"/>
          <w:spacing w:val="-30"/>
          <w:sz w:val="24"/>
          <w:szCs w:val="24"/>
          <w:lang w:val="zh-CN" w:bidi="zh-CN"/>
        </w:rPr>
        <w:t xml:space="preserve"> 度</w:t>
      </w:r>
      <w:r>
        <w:rPr>
          <w:rFonts w:hint="eastAsia" w:ascii="宋体" w:hAnsi="宋体" w:eastAsia="宋体" w:cs="宋体"/>
          <w:sz w:val="24"/>
          <w:szCs w:val="24"/>
          <w:lang w:val="zh-CN" w:bidi="zh-CN"/>
        </w:rPr>
        <w:t>），</w:t>
      </w:r>
      <w:r>
        <w:rPr>
          <w:rFonts w:hint="eastAsia" w:ascii="宋体" w:hAnsi="宋体" w:eastAsia="宋体" w:cs="宋体"/>
          <w:spacing w:val="-1"/>
          <w:sz w:val="24"/>
          <w:szCs w:val="24"/>
          <w:lang w:val="zh-CN" w:bidi="zh-CN"/>
        </w:rPr>
        <w:t>系统将自动提示管理部门预购电将用完，系统针对性地自动报警并在</w:t>
      </w:r>
      <w:r>
        <w:rPr>
          <w:rFonts w:hint="eastAsia" w:ascii="宋体" w:hAnsi="宋体" w:eastAsia="宋体" w:cs="宋体"/>
          <w:sz w:val="24"/>
          <w:szCs w:val="24"/>
          <w:lang w:val="zh-CN" w:bidi="zh-CN"/>
        </w:rPr>
        <w:t>计算机上显示出该房间应尽快购电，可通过显示屏或语音等方案提示用户应尽快购电。</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预购电量、无费关断：用户应首先到学校指定购电处购电，售电计算机将在十秒钟内自动将数据发送到控电表箱各个用电单元， 然后系统会给用户供电，当用户剩余电量为零时，系统将自动切断该单元供电，只有当用户重新购电后，系统才会自动恢复对该单元的供电。</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定时控电：学校可以根据自身管理需求，对学生用电时间进行定时控制，系统共有 20 个定时器，定时类型多样，可按不同的日期和不同的用户组别分别进行控制其开、关， 还可在不同的定时时段内选用不同的单路限流值。</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单元限电：使用方可根据自身管理上的要求，可对用户单元的最大负荷进行统一、分组、单独设置不同限流值。当某单元实际用电负荷超过设定的用电负荷时，系统将自动切断该单元供电，只有当管理员对该单元进行过流复位时，用户单元才可以继续用电，各单元的限流值从 1A 到单路最大负荷电流值（最大为 40A）可选。</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远程实时监控：对每个学生房间的用电情况进行实时监控，即可实施远程设置、远程查看工作状态、违规记录和远程开关房间电源，实时监控的刷新速度是 6 秒一次，只要在 6 秒钟内就可以直观显示学生房间当前的用电数据（当前电流、剩余电量、已用电量、用电情况等）。</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操作员权限管理功能和操作日志：系统操作员有严格的操作权限与操作范围的设置，对重要的系统操作日志有审计，查询功能。</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★宿舍恶性负载及空调用电识别：具有对热得快/电炉等恶性负载的识别功能，能设定和更改各用户宿舍的最大负荷，当某宿舍越过庙宇最大负荷后，系统自动切断该宿舍供电， 超功率/恶意负载断电自动恢复，每个房间可独立设置不同的用电负载功率.空调线路用电不允许使用其它电器.</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★房间调换进行数据转换：当调换房间后，系统计算机上应对该宿舍的剩余电量进行数据转换。</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退费管理：学生毕业时，系统操作员可以对该用户单元进行退费处理，并打印出所有退费用电单元的退费明细表。</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单元用电情况查询：学生可在系统软件，随时查询用户房间当时的用电情况，管理部门可以随时到系统中查询用电宿舍各个阶段的用电量及交费并打印报表、票据等。</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短路保护：在电柜中，分路短路时，分路断路器能自动跳闸，及时切断电路，只有当用户单元的短路状态解除之后，重新合上分路断路器，用户单元才可以继续用电，系统、模块、集中器等有防雷电保护。</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★故障自动报警：当系统检测到系统中有中位机不通讯，或计量模块控制错误时， 系统会采用蜂鸣器报警。</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非法操作、误操作阻挡提示：当操作员对系统进行误操作时，系统会自动对其进行阻挡，当操作员试图做一些对系统会有较大影响的操作时，系统也将有所提示，保障用户的操作安全，当系统采用用卡模式时，系统对伪卡，错卡也有识别提示功能。</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全天候营业，支持中途更换操作员：软件系统可有多个操作员或管理员并能对其进行权限分配，只有当操作员用正确的用户名和口令登录时才能得到自己相应的权限。</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系统操作日志、账户操作日志和追踪审计：系统将把每个操作员所做的每一步操作都记录在数据库中，对其所有的操作都有可追溯性。</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★对账户的各项操作可批量或个别进行：系统允许对用户进行分组，默认为 4 组，最大可扩展到 9 组，当对用户进行各项操作时，均可按组进行操作。</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★掉电数据保护、断电恢复功能：当电脑因非正常关机而引起数据库损坏时，系统软件会自动对数据库进行修复，绝对保障数据的安全。</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★关断失效报警：系统自动报警并在计算机上显示出该房间号。</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★通讯诊断：当系统通讯不正常时，系统自动提示通讯出错，提醒管理人员尽快处理故障。</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单元用电情况查询：在系统软件和数据管理器上，用户可随时查询用户房间当时的用电情况，也可在系统软件上查询用电单元前十年本系统的用电情况、基础用电和交费情况。</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用电数据统计分析功能：系统软件中含有报表打印功能，报表形式多样灵活，统计准确快速。</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免费基础电量设置：免费基础电量设置方式灵活，学校可按每月/季度/年对各组别的用户设定不同的免费基础用电量。</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数据安全功能：用电数据采用电脑、数据管理器、中位机三重备份，当电脑关机或不正常时，电柜会在数据管理器的控制下正常运行。</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★违章用电监控：系统软件每 6 秒检索违章用电情况，并在系统中实时显示。</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spacing w:val="-1"/>
          <w:sz w:val="24"/>
          <w:szCs w:val="24"/>
          <w:lang w:val="zh-CN" w:bidi="zh-CN"/>
        </w:rPr>
      </w:pPr>
      <w:r>
        <w:rPr>
          <w:rFonts w:hint="eastAsia" w:ascii="宋体" w:hAnsi="宋体" w:eastAsia="宋体" w:cs="宋体"/>
          <w:spacing w:val="-1"/>
          <w:sz w:val="24"/>
          <w:szCs w:val="24"/>
          <w:lang w:val="zh-CN" w:bidi="zh-CN"/>
        </w:rPr>
        <w:t>多种缴费方式：支持人工缴费、微信进行缴费等多种缴费方式。</w:t>
      </w:r>
    </w:p>
    <w:p>
      <w:pPr>
        <w:keepNext w:val="0"/>
        <w:keepLines w:val="0"/>
        <w:pageBreakBefore w:val="0"/>
        <w:widowControl w:val="0"/>
        <w:numPr>
          <w:ilvl w:val="0"/>
          <w:numId w:val="10"/>
        </w:numPr>
        <w:tabs>
          <w:tab w:val="left" w:pos="1001"/>
        </w:tabs>
        <w:kinsoku/>
        <w:wordWrap/>
        <w:overflowPunct/>
        <w:topLinePunct w:val="0"/>
        <w:autoSpaceDE w:val="0"/>
        <w:autoSpaceDN w:val="0"/>
        <w:bidi w:val="0"/>
        <w:adjustRightInd/>
        <w:snapToGrid/>
        <w:spacing w:line="360" w:lineRule="auto"/>
        <w:ind w:left="0" w:leftChars="0" w:right="0" w:rightChars="0" w:firstLine="476" w:firstLineChars="200"/>
        <w:textAlignment w:val="auto"/>
        <w:rPr>
          <w:rFonts w:hint="eastAsia" w:ascii="宋体" w:hAnsi="宋体" w:eastAsia="宋体" w:cs="宋体"/>
          <w:bCs/>
          <w:sz w:val="24"/>
          <w:szCs w:val="24"/>
          <w:lang w:val="zh-CN" w:bidi="zh-CN"/>
        </w:rPr>
      </w:pPr>
      <w:r>
        <w:rPr>
          <w:rFonts w:hint="eastAsia" w:ascii="宋体" w:hAnsi="宋体" w:eastAsia="宋体" w:cs="宋体"/>
          <w:spacing w:val="-1"/>
          <w:sz w:val="24"/>
          <w:szCs w:val="24"/>
          <w:lang w:val="zh-CN" w:bidi="zh-CN"/>
        </w:rPr>
        <w:t>★脱机保电功能，当电表与上层软件通讯中断超过设定时间，电表会进入保电状态，在该状态下电表不对切断对后端的供电，直到电表与上层软件恢复通讯，电表会退出保电状态，保电状态可选择由表具自动激活或给电表重新上电后激活。</w:t>
      </w:r>
    </w:p>
    <w:p>
      <w:pPr>
        <w:keepNext w:val="0"/>
        <w:keepLines w:val="0"/>
        <w:pageBreakBefore w:val="0"/>
        <w:widowControl w:val="0"/>
        <w:numPr>
          <w:ilvl w:val="0"/>
          <w:numId w:val="11"/>
        </w:numPr>
        <w:tabs>
          <w:tab w:val="left" w:pos="1054"/>
        </w:tabs>
        <w:kinsoku/>
        <w:wordWrap/>
        <w:overflowPunct/>
        <w:topLinePunct w:val="0"/>
        <w:autoSpaceDE w:val="0"/>
        <w:autoSpaceDN w:val="0"/>
        <w:bidi w:val="0"/>
        <w:adjustRightInd/>
        <w:snapToGrid/>
        <w:spacing w:before="2" w:line="360" w:lineRule="auto"/>
        <w:ind w:right="741"/>
        <w:textAlignment w:val="auto"/>
        <w:rPr>
          <w:rFonts w:hint="eastAsia" w:ascii="宋体" w:hAnsi="宋体" w:eastAsia="宋体" w:cs="宋体"/>
          <w:b/>
          <w:bCs/>
          <w:sz w:val="24"/>
          <w:szCs w:val="24"/>
        </w:rPr>
      </w:pPr>
      <w:r>
        <w:rPr>
          <w:rFonts w:hint="eastAsia" w:ascii="宋体" w:hAnsi="宋体" w:eastAsia="宋体" w:cs="宋体"/>
          <w:b/>
          <w:bCs/>
          <w:sz w:val="24"/>
          <w:szCs w:val="24"/>
        </w:rPr>
        <w:t>人员要求</w:t>
      </w:r>
    </w:p>
    <w:p>
      <w:pPr>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2" w:line="360" w:lineRule="auto"/>
        <w:ind w:right="741"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为保证项目顺利完成，投标</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应组建完整</w:t>
      </w:r>
      <w:r>
        <w:rPr>
          <w:rFonts w:hint="eastAsia" w:ascii="宋体" w:hAnsi="宋体" w:eastAsia="宋体" w:cs="宋体"/>
          <w:sz w:val="24"/>
          <w:szCs w:val="24"/>
          <w:highlight w:val="none"/>
        </w:rPr>
        <w:t>的项目实施团队</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11"/>
        </w:numPr>
        <w:tabs>
          <w:tab w:val="left" w:pos="1054"/>
        </w:tabs>
        <w:kinsoku/>
        <w:wordWrap/>
        <w:overflowPunct/>
        <w:topLinePunct w:val="0"/>
        <w:autoSpaceDE w:val="0"/>
        <w:autoSpaceDN w:val="0"/>
        <w:bidi w:val="0"/>
        <w:adjustRightInd/>
        <w:snapToGrid/>
        <w:spacing w:before="2" w:line="360" w:lineRule="auto"/>
        <w:ind w:left="482" w:leftChars="0" w:right="741" w:hanging="482" w:hangingChars="200"/>
        <w:textAlignment w:val="auto"/>
        <w:rPr>
          <w:rFonts w:hint="eastAsia" w:ascii="宋体" w:hAnsi="宋体" w:eastAsia="宋体" w:cs="宋体"/>
          <w:sz w:val="24"/>
          <w:szCs w:val="24"/>
        </w:rPr>
      </w:pPr>
      <w:r>
        <w:rPr>
          <w:rFonts w:hint="eastAsia" w:ascii="宋体" w:hAnsi="宋体" w:eastAsia="宋体" w:cs="宋体"/>
          <w:b/>
          <w:bCs/>
          <w:sz w:val="24"/>
          <w:szCs w:val="24"/>
          <w:highlight w:val="none"/>
        </w:rPr>
        <w:t>其他要求</w:t>
      </w:r>
      <w:r>
        <w:rPr>
          <w:rFonts w:hint="eastAsia" w:ascii="宋体" w:hAnsi="宋体" w:eastAsia="宋体" w:cs="宋体"/>
          <w:sz w:val="24"/>
          <w:szCs w:val="24"/>
          <w:highlight w:val="none"/>
        </w:rPr>
        <w:br w:type="textWrapping"/>
      </w:r>
      <w:bookmarkStart w:id="10" w:name="_GoBack"/>
      <w:r>
        <w:rPr>
          <w:rFonts w:hint="eastAsia" w:ascii="宋体" w:hAnsi="宋体" w:eastAsia="宋体" w:cs="宋体"/>
          <w:sz w:val="24"/>
          <w:szCs w:val="24"/>
        </w:rPr>
        <w:t>1、系统对接要求</w:t>
      </w:r>
    </w:p>
    <w:bookmarkEnd w:id="10"/>
    <w:p>
      <w:pPr>
        <w:keepNext w:val="0"/>
        <w:keepLines w:val="0"/>
        <w:pageBreakBefore w:val="0"/>
        <w:widowControl w:val="0"/>
        <w:tabs>
          <w:tab w:val="left" w:pos="1054"/>
        </w:tabs>
        <w:kinsoku/>
        <w:wordWrap/>
        <w:overflowPunct/>
        <w:topLinePunct w:val="0"/>
        <w:autoSpaceDE w:val="0"/>
        <w:autoSpaceDN w:val="0"/>
        <w:bidi w:val="0"/>
        <w:adjustRightInd/>
        <w:snapToGrid/>
        <w:spacing w:before="2" w:line="360" w:lineRule="auto"/>
        <w:ind w:left="0" w:leftChars="0" w:right="0" w:righ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（1）★供应商必须在响应文件中出具试点演示承诺函（详见承诺函格式）。</w:t>
      </w:r>
    </w:p>
    <w:p>
      <w:pPr>
        <w:keepNext w:val="0"/>
        <w:keepLines w:val="0"/>
        <w:pageBreakBefore w:val="0"/>
        <w:widowControl w:val="0"/>
        <w:tabs>
          <w:tab w:val="left" w:pos="1054"/>
        </w:tabs>
        <w:kinsoku/>
        <w:wordWrap/>
        <w:overflowPunct/>
        <w:topLinePunct w:val="0"/>
        <w:autoSpaceDE w:val="0"/>
        <w:autoSpaceDN w:val="0"/>
        <w:bidi w:val="0"/>
        <w:adjustRightInd/>
        <w:snapToGrid/>
        <w:spacing w:before="2" w:line="360" w:lineRule="auto"/>
        <w:ind w:left="0" w:leftChars="0" w:right="0" w:righ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（2）★本次采购硬件与软件的对接费用</w:t>
      </w:r>
      <w:r>
        <w:rPr>
          <w:rFonts w:hint="eastAsia" w:ascii="宋体" w:hAnsi="宋体" w:eastAsia="宋体" w:cs="宋体"/>
          <w:sz w:val="24"/>
          <w:szCs w:val="24"/>
          <w:lang w:val="en-US" w:eastAsia="zh-CN"/>
        </w:rPr>
        <w:t>已包含在报价内</w:t>
      </w:r>
      <w:r>
        <w:rPr>
          <w:rFonts w:hint="eastAsia" w:ascii="宋体" w:hAnsi="宋体" w:eastAsia="宋体" w:cs="宋体"/>
          <w:sz w:val="24"/>
          <w:szCs w:val="24"/>
        </w:rPr>
        <w:t>，供应商必须在报价中自行考虑此接口费。</w:t>
      </w:r>
    </w:p>
    <w:p>
      <w:pPr>
        <w:keepNext w:val="0"/>
        <w:keepLines w:val="0"/>
        <w:pageBreakBefore w:val="0"/>
        <w:widowControl w:val="0"/>
        <w:tabs>
          <w:tab w:val="left" w:pos="1054"/>
          <w:tab w:val="left" w:pos="4876"/>
        </w:tabs>
        <w:kinsoku/>
        <w:wordWrap/>
        <w:overflowPunct/>
        <w:topLinePunct w:val="0"/>
        <w:autoSpaceDE w:val="0"/>
        <w:autoSpaceDN w:val="0"/>
        <w:bidi w:val="0"/>
        <w:adjustRightInd/>
        <w:snapToGrid/>
        <w:spacing w:before="2" w:line="360" w:lineRule="auto"/>
        <w:ind w:left="0" w:leftChars="0" w:right="741"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2、试点演</w:t>
      </w:r>
      <w:r>
        <w:rPr>
          <w:rFonts w:hint="eastAsia" w:ascii="宋体" w:hAnsi="宋体" w:eastAsia="宋体" w:cs="宋体"/>
          <w:sz w:val="24"/>
          <w:szCs w:val="24"/>
          <w:highlight w:val="none"/>
        </w:rPr>
        <w:t>示</w:t>
      </w:r>
      <w:r>
        <w:rPr>
          <w:rFonts w:hint="eastAsia" w:ascii="宋体" w:hAnsi="宋体" w:cs="宋体"/>
          <w:sz w:val="24"/>
          <w:szCs w:val="24"/>
          <w:highlight w:val="none"/>
          <w:lang w:val="en-US" w:eastAsia="zh-CN"/>
        </w:rPr>
        <w:t>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详见投标文件格式）</w:t>
      </w:r>
      <w:r>
        <w:rPr>
          <w:rFonts w:hint="eastAsia" w:ascii="宋体" w:hAnsi="宋体" w:eastAsia="宋体" w:cs="宋体"/>
          <w:sz w:val="24"/>
          <w:szCs w:val="24"/>
          <w:lang w:eastAsia="zh-CN"/>
        </w:rPr>
        <w:tab/>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544" w:firstLineChars="0"/>
        <w:textAlignment w:val="auto"/>
        <w:rPr>
          <w:rFonts w:hint="eastAsia" w:ascii="宋体" w:hAnsi="宋体" w:eastAsia="宋体" w:cs="宋体"/>
          <w:sz w:val="24"/>
          <w:szCs w:val="24"/>
          <w:lang w:eastAsia="zh-CN"/>
        </w:rPr>
      </w:pPr>
      <w:r>
        <w:rPr>
          <w:rFonts w:hint="eastAsia" w:ascii="宋体" w:hAnsi="宋体" w:eastAsia="宋体" w:cs="宋体"/>
          <w:spacing w:val="-4"/>
          <w:sz w:val="24"/>
          <w:szCs w:val="24"/>
        </w:rPr>
        <w:t>★第一中标候选人</w:t>
      </w:r>
      <w:r>
        <w:rPr>
          <w:rFonts w:hint="eastAsia" w:ascii="宋体" w:hAnsi="宋体" w:eastAsia="宋体" w:cs="宋体"/>
          <w:sz w:val="24"/>
          <w:szCs w:val="24"/>
        </w:rPr>
        <w:t>（预中标单位</w:t>
      </w:r>
      <w:r>
        <w:rPr>
          <w:rFonts w:hint="eastAsia" w:ascii="宋体" w:hAnsi="宋体" w:eastAsia="宋体" w:cs="宋体"/>
          <w:spacing w:val="-31"/>
          <w:sz w:val="24"/>
          <w:szCs w:val="24"/>
        </w:rPr>
        <w:t>）</w:t>
      </w:r>
      <w:r>
        <w:rPr>
          <w:rFonts w:hint="eastAsia" w:ascii="宋体" w:hAnsi="宋体" w:eastAsia="宋体" w:cs="宋体"/>
          <w:spacing w:val="-1"/>
          <w:sz w:val="24"/>
          <w:szCs w:val="24"/>
        </w:rPr>
        <w:t>在本项目评审结果公示结束后两日内在招标范围内的</w:t>
      </w:r>
      <w:r>
        <w:rPr>
          <w:rFonts w:hint="eastAsia" w:ascii="宋体" w:hAnsi="宋体" w:eastAsia="宋体" w:cs="宋体"/>
          <w:sz w:val="24"/>
          <w:szCs w:val="24"/>
        </w:rPr>
        <w:t>某一宿舍进行试点安装，接入我校老校区（宣城路校区）</w:t>
      </w:r>
      <w:r>
        <w:rPr>
          <w:rFonts w:hint="eastAsia" w:ascii="宋体" w:hAnsi="宋体" w:eastAsia="宋体" w:cs="宋体"/>
          <w:spacing w:val="-1"/>
          <w:sz w:val="24"/>
          <w:szCs w:val="24"/>
        </w:rPr>
        <w:t>电控软件系统后，对需实现的电控</w:t>
      </w:r>
      <w:r>
        <w:rPr>
          <w:rFonts w:hint="eastAsia" w:ascii="宋体" w:hAnsi="宋体" w:eastAsia="宋体" w:cs="宋体"/>
          <w:sz w:val="24"/>
          <w:szCs w:val="24"/>
        </w:rPr>
        <w:t>功能进行演示</w:t>
      </w:r>
      <w:r>
        <w:rPr>
          <w:rFonts w:hint="eastAsia" w:ascii="宋体" w:hAnsi="宋体" w:eastAsia="宋体" w:cs="宋体"/>
          <w:sz w:val="24"/>
          <w:szCs w:val="24"/>
          <w:lang w:eastAsia="zh-CN"/>
        </w:rPr>
        <w:t>，必须达到招标文件中要求的功能。</w:t>
      </w:r>
    </w:p>
    <w:p>
      <w:pPr>
        <w:keepNext w:val="0"/>
        <w:keepLines w:val="0"/>
        <w:pageBreakBefore w:val="0"/>
        <w:widowControl w:val="0"/>
        <w:tabs>
          <w:tab w:val="left" w:pos="1054"/>
        </w:tabs>
        <w:kinsoku/>
        <w:wordWrap/>
        <w:overflowPunct/>
        <w:topLinePunct w:val="0"/>
        <w:autoSpaceDE w:val="0"/>
        <w:autoSpaceDN w:val="0"/>
        <w:bidi w:val="0"/>
        <w:adjustRightInd/>
        <w:snapToGrid/>
        <w:spacing w:before="2" w:line="360" w:lineRule="auto"/>
        <w:ind w:left="420" w:leftChars="200" w:right="741"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3、其他事项</w:t>
      </w:r>
    </w:p>
    <w:p>
      <w:pPr>
        <w:keepNext w:val="0"/>
        <w:keepLines w:val="0"/>
        <w:pageBreakBefore w:val="0"/>
        <w:widowControl w:val="0"/>
        <w:tabs>
          <w:tab w:val="left" w:pos="1054"/>
        </w:tabs>
        <w:kinsoku/>
        <w:wordWrap/>
        <w:overflowPunct/>
        <w:topLinePunct w:val="0"/>
        <w:autoSpaceDE w:val="0"/>
        <w:autoSpaceDN w:val="0"/>
        <w:bidi w:val="0"/>
        <w:adjustRightInd/>
        <w:snapToGrid/>
        <w:spacing w:before="2" w:line="360" w:lineRule="auto"/>
        <w:ind w:left="0" w:leftChars="0" w:right="0" w:rightChars="0" w:firstLine="300" w:firstLineChars="125"/>
        <w:textAlignment w:val="auto"/>
        <w:rPr>
          <w:rFonts w:hint="eastAsia" w:ascii="宋体" w:hAnsi="宋体" w:eastAsia="宋体" w:cs="宋体"/>
          <w:sz w:val="24"/>
          <w:szCs w:val="24"/>
        </w:rPr>
      </w:pPr>
      <w:r>
        <w:rPr>
          <w:rFonts w:hint="eastAsia" w:ascii="宋体" w:hAnsi="宋体" w:eastAsia="宋体" w:cs="宋体"/>
          <w:sz w:val="24"/>
          <w:szCs w:val="24"/>
        </w:rPr>
        <w:t>（1）中标人应负责所投设备或货物的采购、运输、装卸、安装、调试，所有费用（包含原智能电控系统拆除费用、新智能电控系统的设备费、材料费、安装调试费、税金、施工过程中所有辅材及完成本项目应考虑到的一切费用）均由中标人承担。</w:t>
      </w:r>
    </w:p>
    <w:p>
      <w:pPr>
        <w:keepNext w:val="0"/>
        <w:keepLines w:val="0"/>
        <w:pageBreakBefore w:val="0"/>
        <w:widowControl w:val="0"/>
        <w:tabs>
          <w:tab w:val="left" w:pos="1054"/>
        </w:tabs>
        <w:kinsoku/>
        <w:wordWrap/>
        <w:overflowPunct/>
        <w:topLinePunct w:val="0"/>
        <w:autoSpaceDE w:val="0"/>
        <w:autoSpaceDN w:val="0"/>
        <w:bidi w:val="0"/>
        <w:adjustRightInd/>
        <w:snapToGrid/>
        <w:spacing w:before="2"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（2）采购需求中标注“★”条款项为必须满足项，不满足的按无效响应处理。</w:t>
      </w:r>
    </w:p>
    <w:p>
      <w:pPr>
        <w:keepNext w:val="0"/>
        <w:keepLines w:val="0"/>
        <w:pageBreakBefore w:val="0"/>
        <w:widowControl w:val="0"/>
        <w:tabs>
          <w:tab w:val="left" w:pos="1054"/>
        </w:tabs>
        <w:kinsoku/>
        <w:wordWrap/>
        <w:overflowPunct/>
        <w:topLinePunct w:val="0"/>
        <w:autoSpaceDE w:val="0"/>
        <w:autoSpaceDN w:val="0"/>
        <w:bidi w:val="0"/>
        <w:adjustRightInd/>
        <w:snapToGrid/>
        <w:spacing w:before="2"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（3）本项目质保期两年，质保期结束后的维保服务可由中标人继续承接，维保费用按照合同中规定执行。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41234"/>
    <w:multiLevelType w:val="singleLevel"/>
    <w:tmpl w:val="84641234"/>
    <w:lvl w:ilvl="0" w:tentative="0">
      <w:start w:val="1"/>
      <w:numFmt w:val="decimal"/>
      <w:suff w:val="space"/>
      <w:lvlText w:val="%1."/>
      <w:lvlJc w:val="left"/>
      <w:pPr>
        <w:ind w:left="1265" w:hanging="425"/>
      </w:pPr>
      <w:rPr>
        <w:rFonts w:hint="default"/>
      </w:rPr>
    </w:lvl>
  </w:abstractNum>
  <w:abstractNum w:abstractNumId="1">
    <w:nsid w:val="894EE5E3"/>
    <w:multiLevelType w:val="singleLevel"/>
    <w:tmpl w:val="894EE5E3"/>
    <w:lvl w:ilvl="0" w:tentative="0">
      <w:start w:val="1"/>
      <w:numFmt w:val="decimal"/>
      <w:suff w:val="space"/>
      <w:lvlText w:val="%1."/>
      <w:lvlJc w:val="left"/>
      <w:pPr>
        <w:ind w:left="1265" w:hanging="425"/>
      </w:pPr>
      <w:rPr>
        <w:rFonts w:hint="default"/>
      </w:rPr>
    </w:lvl>
  </w:abstractNum>
  <w:abstractNum w:abstractNumId="2">
    <w:nsid w:val="91383AF7"/>
    <w:multiLevelType w:val="singleLevel"/>
    <w:tmpl w:val="91383AF7"/>
    <w:lvl w:ilvl="0" w:tentative="0">
      <w:start w:val="2"/>
      <w:numFmt w:val="chineseCounting"/>
      <w:suff w:val="nothing"/>
      <w:lvlText w:val="%1、"/>
      <w:lvlJc w:val="left"/>
      <w:rPr>
        <w:rFonts w:hint="eastAsia"/>
      </w:rPr>
    </w:lvl>
  </w:abstractNum>
  <w:abstractNum w:abstractNumId="3">
    <w:nsid w:val="A563E58A"/>
    <w:multiLevelType w:val="singleLevel"/>
    <w:tmpl w:val="A563E58A"/>
    <w:lvl w:ilvl="0" w:tentative="0">
      <w:start w:val="1"/>
      <w:numFmt w:val="decimal"/>
      <w:lvlText w:val="%1."/>
      <w:lvlJc w:val="left"/>
      <w:pPr>
        <w:tabs>
          <w:tab w:val="left" w:pos="420"/>
        </w:tabs>
        <w:ind w:left="845" w:hanging="425"/>
      </w:pPr>
      <w:rPr>
        <w:rFonts w:hint="default"/>
      </w:rPr>
    </w:lvl>
  </w:abstractNum>
  <w:abstractNum w:abstractNumId="4">
    <w:nsid w:val="A6BCF0E3"/>
    <w:multiLevelType w:val="singleLevel"/>
    <w:tmpl w:val="A6BCF0E3"/>
    <w:lvl w:ilvl="0" w:tentative="0">
      <w:start w:val="1"/>
      <w:numFmt w:val="decimal"/>
      <w:suff w:val="space"/>
      <w:lvlText w:val="%1."/>
      <w:lvlJc w:val="left"/>
      <w:pPr>
        <w:ind w:left="845" w:hanging="425"/>
      </w:pPr>
      <w:rPr>
        <w:rFonts w:hint="default"/>
        <w:sz w:val="24"/>
        <w:szCs w:val="24"/>
      </w:rPr>
    </w:lvl>
  </w:abstractNum>
  <w:abstractNum w:abstractNumId="5">
    <w:nsid w:val="E7B3F20B"/>
    <w:multiLevelType w:val="singleLevel"/>
    <w:tmpl w:val="E7B3F20B"/>
    <w:lvl w:ilvl="0" w:tentative="0">
      <w:start w:val="1"/>
      <w:numFmt w:val="decimal"/>
      <w:suff w:val="nothing"/>
      <w:lvlText w:val="%1、"/>
      <w:lvlJc w:val="left"/>
    </w:lvl>
  </w:abstractNum>
  <w:abstractNum w:abstractNumId="6">
    <w:nsid w:val="12A8594F"/>
    <w:multiLevelType w:val="singleLevel"/>
    <w:tmpl w:val="12A8594F"/>
    <w:lvl w:ilvl="0" w:tentative="0">
      <w:start w:val="1"/>
      <w:numFmt w:val="decimal"/>
      <w:lvlText w:val="%1."/>
      <w:lvlJc w:val="left"/>
      <w:pPr>
        <w:tabs>
          <w:tab w:val="left" w:pos="840"/>
        </w:tabs>
        <w:ind w:left="1265" w:hanging="425"/>
      </w:pPr>
      <w:rPr>
        <w:rFonts w:hint="default"/>
      </w:rPr>
    </w:lvl>
  </w:abstractNum>
  <w:abstractNum w:abstractNumId="7">
    <w:nsid w:val="1A3A41D3"/>
    <w:multiLevelType w:val="singleLevel"/>
    <w:tmpl w:val="1A3A41D3"/>
    <w:lvl w:ilvl="0" w:tentative="0">
      <w:start w:val="1"/>
      <w:numFmt w:val="decimal"/>
      <w:lvlText w:val="%1."/>
      <w:lvlJc w:val="left"/>
      <w:pPr>
        <w:tabs>
          <w:tab w:val="left" w:pos="420"/>
        </w:tabs>
        <w:ind w:left="845" w:hanging="425"/>
      </w:pPr>
      <w:rPr>
        <w:rFonts w:hint="default"/>
      </w:rPr>
    </w:lvl>
  </w:abstractNum>
  <w:abstractNum w:abstractNumId="8">
    <w:nsid w:val="2470EC97"/>
    <w:multiLevelType w:val="multilevel"/>
    <w:tmpl w:val="2470EC97"/>
    <w:lvl w:ilvl="0" w:tentative="0">
      <w:start w:val="2"/>
      <w:numFmt w:val="decimal"/>
      <w:lvlText w:val="%1"/>
      <w:lvlJc w:val="left"/>
      <w:pPr>
        <w:ind w:left="585" w:hanging="365"/>
      </w:pPr>
      <w:rPr>
        <w:rFonts w:hint="default"/>
        <w:lang w:val="zh-CN" w:eastAsia="zh-CN" w:bidi="zh-CN"/>
      </w:rPr>
    </w:lvl>
    <w:lvl w:ilvl="1" w:tentative="0">
      <w:start w:val="1"/>
      <w:numFmt w:val="decimal"/>
      <w:lvlText w:val="%1.%2"/>
      <w:lvlJc w:val="left"/>
      <w:pPr>
        <w:ind w:left="585" w:hanging="365"/>
      </w:pPr>
      <w:rPr>
        <w:rFonts w:hint="default" w:ascii="仿宋" w:hAnsi="仿宋" w:eastAsia="仿宋" w:cs="仿宋"/>
        <w:b/>
        <w:bCs/>
        <w:spacing w:val="0"/>
        <w:w w:val="99"/>
        <w:sz w:val="22"/>
        <w:szCs w:val="22"/>
        <w:lang w:val="zh-CN" w:eastAsia="zh-CN" w:bidi="zh-CN"/>
      </w:rPr>
    </w:lvl>
    <w:lvl w:ilvl="2" w:tentative="0">
      <w:start w:val="1"/>
      <w:numFmt w:val="decimal"/>
      <w:lvlText w:val="%1.%2.%3"/>
      <w:lvlJc w:val="left"/>
      <w:pPr>
        <w:ind w:left="825" w:hanging="606"/>
      </w:pPr>
      <w:rPr>
        <w:rFonts w:hint="default"/>
        <w:b/>
        <w:bCs/>
        <w:spacing w:val="0"/>
        <w:w w:val="99"/>
        <w:lang w:val="zh-CN" w:eastAsia="zh-CN" w:bidi="zh-CN"/>
      </w:rPr>
    </w:lvl>
    <w:lvl w:ilvl="3" w:tentative="0">
      <w:start w:val="1"/>
      <w:numFmt w:val="decimal"/>
      <w:lvlText w:val="（%4）"/>
      <w:lvlJc w:val="left"/>
      <w:pPr>
        <w:ind w:left="1301" w:hanging="606"/>
      </w:pPr>
      <w:rPr>
        <w:rFonts w:hint="default" w:ascii="仿宋" w:hAnsi="仿宋" w:eastAsia="仿宋" w:cs="仿宋"/>
        <w:spacing w:val="-1"/>
        <w:w w:val="100"/>
        <w:sz w:val="22"/>
        <w:szCs w:val="22"/>
        <w:lang w:val="zh-CN" w:eastAsia="zh-CN" w:bidi="zh-CN"/>
      </w:rPr>
    </w:lvl>
    <w:lvl w:ilvl="4" w:tentative="0">
      <w:start w:val="0"/>
      <w:numFmt w:val="bullet"/>
      <w:lvlText w:val="•"/>
      <w:lvlJc w:val="left"/>
      <w:pPr>
        <w:ind w:left="3646" w:hanging="606"/>
      </w:pPr>
      <w:rPr>
        <w:rFonts w:hint="default"/>
        <w:lang w:val="zh-CN" w:eastAsia="zh-CN" w:bidi="zh-CN"/>
      </w:rPr>
    </w:lvl>
    <w:lvl w:ilvl="5" w:tentative="0">
      <w:start w:val="0"/>
      <w:numFmt w:val="bullet"/>
      <w:lvlText w:val="•"/>
      <w:lvlJc w:val="left"/>
      <w:pPr>
        <w:ind w:left="4819" w:hanging="606"/>
      </w:pPr>
      <w:rPr>
        <w:rFonts w:hint="default"/>
        <w:lang w:val="zh-CN" w:eastAsia="zh-CN" w:bidi="zh-CN"/>
      </w:rPr>
    </w:lvl>
    <w:lvl w:ilvl="6" w:tentative="0">
      <w:start w:val="0"/>
      <w:numFmt w:val="bullet"/>
      <w:lvlText w:val="•"/>
      <w:lvlJc w:val="left"/>
      <w:pPr>
        <w:ind w:left="5993" w:hanging="606"/>
      </w:pPr>
      <w:rPr>
        <w:rFonts w:hint="default"/>
        <w:lang w:val="zh-CN" w:eastAsia="zh-CN" w:bidi="zh-CN"/>
      </w:rPr>
    </w:lvl>
    <w:lvl w:ilvl="7" w:tentative="0">
      <w:start w:val="0"/>
      <w:numFmt w:val="bullet"/>
      <w:lvlText w:val="•"/>
      <w:lvlJc w:val="left"/>
      <w:pPr>
        <w:ind w:left="7166" w:hanging="606"/>
      </w:pPr>
      <w:rPr>
        <w:rFonts w:hint="default"/>
        <w:lang w:val="zh-CN" w:eastAsia="zh-CN" w:bidi="zh-CN"/>
      </w:rPr>
    </w:lvl>
    <w:lvl w:ilvl="8" w:tentative="0">
      <w:start w:val="0"/>
      <w:numFmt w:val="bullet"/>
      <w:lvlText w:val="•"/>
      <w:lvlJc w:val="left"/>
      <w:pPr>
        <w:ind w:left="8339" w:hanging="606"/>
      </w:pPr>
      <w:rPr>
        <w:rFonts w:hint="default"/>
        <w:lang w:val="zh-CN" w:eastAsia="zh-CN" w:bidi="zh-CN"/>
      </w:rPr>
    </w:lvl>
  </w:abstractNum>
  <w:abstractNum w:abstractNumId="9">
    <w:nsid w:val="2ED42F79"/>
    <w:multiLevelType w:val="singleLevel"/>
    <w:tmpl w:val="2ED42F79"/>
    <w:lvl w:ilvl="0" w:tentative="0">
      <w:start w:val="1"/>
      <w:numFmt w:val="decimal"/>
      <w:suff w:val="space"/>
      <w:lvlText w:val="%1."/>
      <w:lvlJc w:val="left"/>
      <w:pPr>
        <w:ind w:left="845" w:hanging="425"/>
      </w:pPr>
      <w:rPr>
        <w:rFonts w:hint="default"/>
      </w:rPr>
    </w:lvl>
  </w:abstractNum>
  <w:abstractNum w:abstractNumId="10">
    <w:nsid w:val="706AC30D"/>
    <w:multiLevelType w:val="singleLevel"/>
    <w:tmpl w:val="706AC30D"/>
    <w:lvl w:ilvl="0" w:tentative="0">
      <w:start w:val="2"/>
      <w:numFmt w:val="chineseCounting"/>
      <w:suff w:val="nothing"/>
      <w:lvlText w:val="（%1）"/>
      <w:lvlJc w:val="left"/>
      <w:rPr>
        <w:rFonts w:hint="eastAsia"/>
      </w:rPr>
    </w:lvl>
  </w:abstractNum>
  <w:num w:numId="1">
    <w:abstractNumId w:val="5"/>
  </w:num>
  <w:num w:numId="2">
    <w:abstractNumId w:val="2"/>
  </w:num>
  <w:num w:numId="3">
    <w:abstractNumId w:val="8"/>
  </w:num>
  <w:num w:numId="4">
    <w:abstractNumId w:val="6"/>
  </w:num>
  <w:num w:numId="5">
    <w:abstractNumId w:val="1"/>
  </w:num>
  <w:num w:numId="6">
    <w:abstractNumId w:val="0"/>
  </w:num>
  <w:num w:numId="7">
    <w:abstractNumId w:val="3"/>
  </w:num>
  <w:num w:numId="8">
    <w:abstractNumId w:val="9"/>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2NmZWVhY2JiMTE4Mzc5NjM3ODllNGY3ZjE0OTYifQ=="/>
  </w:docVars>
  <w:rsids>
    <w:rsidRoot w:val="75D62241"/>
    <w:rsid w:val="75D6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6"/>
    <w:basedOn w:val="1"/>
    <w:qFormat/>
    <w:uiPriority w:val="9"/>
    <w:pPr>
      <w:keepNext/>
      <w:keepLines/>
      <w:spacing w:before="240" w:after="64" w:line="320" w:lineRule="atLeast"/>
      <w:outlineLvl w:val="5"/>
    </w:pPr>
    <w:rPr>
      <w:rFonts w:ascii="Cambria" w:hAnsi="Cambria"/>
      <w:b/>
      <w:bCs/>
      <w:kern w:val="0"/>
      <w:sz w:val="24"/>
      <w:szCs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uiPriority w:val="0"/>
    <w:rPr>
      <w:rFonts w:ascii="宋体" w:hAnsi="Arial"/>
      <w:sz w:val="28"/>
      <w:szCs w:val="20"/>
    </w:rPr>
  </w:style>
  <w:style w:type="paragraph" w:customStyle="1" w:styleId="7">
    <w:name w:val="Table Paragraph"/>
    <w:basedOn w:val="1"/>
    <w:qFormat/>
    <w:uiPriority w:val="1"/>
    <w:pPr>
      <w:autoSpaceDE w:val="0"/>
      <w:autoSpaceDN w:val="0"/>
      <w:spacing w:line="240" w:lineRule="auto"/>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2024-06-06T02:56:00Z</dcterms:created>
  <dc:creator>TYJ</dc:creator>
  <cp:lastModifiedBy>TYJ</cp:lastModifiedBy>
  <dcterms:modified xsi:type="dcterms:W3CDTF">2024-06-06T02:57:34Z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29A7E2D171674A8281E2081D2A0E1A1C_11</vt:lpwstr>
  </property>
</Properties>
</file>