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Theme="minorEastAsia" w:hAnsiTheme="minorEastAsia" w:eastAsiaTheme="minorEastAsia"/>
          <w:b/>
          <w:sz w:val="28"/>
        </w:rPr>
      </w:pPr>
      <w:bookmarkStart w:id="0" w:name="_Toc2930"/>
      <w:r>
        <w:rPr>
          <w:rFonts w:hint="eastAsia" w:asciiTheme="minorEastAsia" w:hAnsiTheme="minorEastAsia" w:eastAsiaTheme="minorEastAsia"/>
          <w:b/>
          <w:sz w:val="28"/>
        </w:rPr>
        <w:t>第三章  采购需求</w:t>
      </w:r>
      <w:bookmarkEnd w:id="0"/>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pPr>
        <w:spacing w:line="360" w:lineRule="auto"/>
        <w:ind w:firstLine="435"/>
        <w:rPr>
          <w:rFonts w:ascii="宋体" w:hAnsi="宋体" w:eastAsia="宋体"/>
          <w:sz w:val="24"/>
          <w:szCs w:val="18"/>
        </w:rPr>
      </w:pPr>
      <w:r>
        <w:rPr>
          <w:rFonts w:hint="eastAsia" w:asciiTheme="minorEastAsia" w:hAnsiTheme="minorEastAsia" w:eastAsiaTheme="minorEastAsia"/>
          <w:sz w:val="24"/>
        </w:rPr>
        <w:t>1.</w:t>
      </w:r>
      <w:r>
        <w:rPr>
          <w:rFonts w:ascii="宋体" w:hAnsi="宋体" w:eastAsia="宋体"/>
          <w:sz w:val="24"/>
          <w:szCs w:val="18"/>
        </w:rPr>
        <w:t>根据《</w:t>
      </w:r>
      <w:r>
        <w:rPr>
          <w:rFonts w:hint="eastAsia" w:ascii="宋体" w:hAnsi="宋体" w:eastAsia="宋体"/>
          <w:sz w:val="24"/>
          <w:szCs w:val="18"/>
        </w:rPr>
        <w:t>政府采购进口产品管理办法</w:t>
      </w:r>
      <w:r>
        <w:rPr>
          <w:rFonts w:ascii="宋体" w:hAnsi="宋体" w:eastAsia="宋体"/>
          <w:sz w:val="24"/>
          <w:szCs w:val="18"/>
        </w:rPr>
        <w:t>》及政府采购管理部门的相关规定，下列采购需求中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，但不限制满足招标文件要求的国内产</w:t>
      </w:r>
      <w:bookmarkStart w:id="3" w:name="_GoBack"/>
      <w:bookmarkEnd w:id="3"/>
      <w:r>
        <w:rPr>
          <w:rFonts w:ascii="宋体" w:hAnsi="宋体" w:eastAsia="宋体"/>
          <w:sz w:val="24"/>
          <w:szCs w:val="18"/>
        </w:rPr>
        <w:t>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sz w:val="24"/>
          <w:szCs w:val="18"/>
        </w:rPr>
        <w:t>。</w:t>
      </w:r>
    </w:p>
    <w:p>
      <w:pPr>
        <w:spacing w:line="360" w:lineRule="auto"/>
        <w:ind w:firstLine="435"/>
        <w:rPr>
          <w:rFonts w:ascii="宋体" w:hAnsi="宋体" w:eastAsia="宋体"/>
          <w:sz w:val="24"/>
          <w:szCs w:val="18"/>
        </w:rPr>
      </w:pPr>
      <w:r>
        <w:rPr>
          <w:rFonts w:hint="eastAsia" w:ascii="宋体" w:hAnsi="宋体" w:eastAsia="宋体"/>
          <w:sz w:val="24"/>
          <w:szCs w:val="18"/>
        </w:rPr>
        <w:t>2.下列采购需求中：</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sz w:val="24"/>
          <w:szCs w:val="18"/>
        </w:rPr>
      </w:pPr>
      <w:r>
        <w:rPr>
          <w:rFonts w:hint="eastAsia" w:ascii="宋体" w:hAnsi="宋体" w:eastAsia="宋体"/>
          <w:sz w:val="24"/>
          <w:szCs w:val="18"/>
        </w:rPr>
        <w:t>3.</w:t>
      </w:r>
      <w:r>
        <w:rPr>
          <w:rFonts w:ascii="宋体" w:hAnsi="宋体" w:eastAsia="宋体"/>
          <w:sz w:val="24"/>
          <w:szCs w:val="18"/>
        </w:rPr>
        <w:t>下列采购需求中：标注▲的产品</w:t>
      </w:r>
      <w:r>
        <w:rPr>
          <w:rFonts w:hint="eastAsia" w:ascii="宋体" w:hAnsi="宋体" w:eastAsia="宋体"/>
          <w:sz w:val="24"/>
          <w:szCs w:val="18"/>
        </w:rPr>
        <w:t>（核心产品）</w:t>
      </w:r>
      <w:r>
        <w:rPr>
          <w:rFonts w:ascii="宋体" w:hAnsi="宋体" w:eastAsia="宋体"/>
          <w:sz w:val="24"/>
          <w:szCs w:val="18"/>
        </w:rPr>
        <w:t>，投标</w:t>
      </w:r>
      <w:r>
        <w:rPr>
          <w:rFonts w:hint="eastAsia" w:ascii="宋体" w:hAnsi="宋体" w:eastAsia="宋体"/>
          <w:sz w:val="24"/>
          <w:szCs w:val="18"/>
        </w:rPr>
        <w:t>人</w:t>
      </w:r>
      <w:r>
        <w:rPr>
          <w:rFonts w:ascii="宋体" w:hAnsi="宋体" w:eastAsia="宋体"/>
          <w:sz w:val="24"/>
          <w:szCs w:val="18"/>
        </w:rPr>
        <w:t>在投标文件《主要</w:t>
      </w:r>
      <w:r>
        <w:rPr>
          <w:rFonts w:hint="eastAsia" w:ascii="宋体" w:hAnsi="宋体" w:eastAsia="宋体"/>
          <w:sz w:val="24"/>
          <w:szCs w:val="18"/>
        </w:rPr>
        <w:t>中标</w:t>
      </w:r>
      <w:r>
        <w:rPr>
          <w:rFonts w:ascii="宋体" w:hAnsi="宋体" w:eastAsia="宋体"/>
          <w:sz w:val="24"/>
          <w:szCs w:val="18"/>
        </w:rPr>
        <w:t>标的承诺函》中填写名称、</w:t>
      </w:r>
      <w:r>
        <w:rPr>
          <w:rFonts w:hint="eastAsia" w:ascii="宋体" w:hAnsi="宋体" w:eastAsia="宋体"/>
          <w:sz w:val="24"/>
          <w:szCs w:val="18"/>
        </w:rPr>
        <w:t>品牌、</w:t>
      </w:r>
      <w:r>
        <w:rPr>
          <w:rFonts w:ascii="宋体" w:hAnsi="宋体" w:eastAsia="宋体"/>
          <w:sz w:val="24"/>
          <w:szCs w:val="18"/>
        </w:rPr>
        <w:t>规格、型号、数量、单价等信息</w:t>
      </w:r>
      <w:r>
        <w:rPr>
          <w:rFonts w:hint="eastAsia" w:ascii="宋体" w:hAnsi="宋体" w:eastAsia="宋体"/>
          <w:sz w:val="24"/>
          <w:szCs w:val="18"/>
        </w:rPr>
        <w:t>。</w:t>
      </w:r>
    </w:p>
    <w:p>
      <w:pPr>
        <w:spacing w:line="360" w:lineRule="auto"/>
        <w:ind w:firstLine="435"/>
      </w:pPr>
      <w:r>
        <w:rPr>
          <w:rFonts w:hint="eastAsia" w:ascii="宋体" w:hAnsi="宋体" w:eastAsia="宋体" w:cs="宋体"/>
          <w:sz w:val="24"/>
          <w:szCs w:val="24"/>
        </w:rPr>
        <w:t>4.</w:t>
      </w:r>
      <w:r>
        <w:rPr>
          <w:rFonts w:hint="eastAsia" w:ascii="宋体" w:hAnsi="宋体" w:eastAsia="宋体"/>
          <w:sz w:val="24"/>
          <w:szCs w:val="18"/>
        </w:rPr>
        <w:t>如采购人允许采用分包方式履行合同的，应当明确可以分包履行的相关内容。</w:t>
      </w:r>
    </w:p>
    <w:p>
      <w:pPr>
        <w:spacing w:line="360" w:lineRule="auto"/>
        <w:ind w:firstLine="437"/>
        <w:outlineLvl w:val="1"/>
        <w:rPr>
          <w:rFonts w:ascii="宋体" w:hAnsi="宋体" w:eastAsia="宋体"/>
          <w:b/>
          <w:sz w:val="24"/>
          <w:szCs w:val="18"/>
        </w:rPr>
      </w:pPr>
      <w:bookmarkStart w:id="1" w:name="_Toc2554"/>
      <w:r>
        <w:rPr>
          <w:rFonts w:hint="eastAsia" w:ascii="宋体" w:hAnsi="宋体" w:eastAsia="宋体"/>
          <w:b/>
          <w:sz w:val="24"/>
          <w:szCs w:val="18"/>
        </w:rPr>
        <w:t>一、采购需求前附表</w:t>
      </w:r>
      <w:bookmarkEnd w:id="1"/>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pPr>
              <w:pStyle w:val="10"/>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6" w:type="pct"/>
            <w:vAlign w:val="center"/>
          </w:tcPr>
          <w:p>
            <w:pPr>
              <w:pStyle w:val="10"/>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6" w:type="pct"/>
            <w:vAlign w:val="center"/>
          </w:tcPr>
          <w:p>
            <w:pPr>
              <w:pStyle w:val="10"/>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验收合格后一次性付款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3216" w:type="pct"/>
            <w:vAlign w:val="center"/>
          </w:tcPr>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安徽艺术职业学院，采购人指定地点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3216" w:type="pct"/>
            <w:vAlign w:val="center"/>
          </w:tcPr>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合同生效后60个日历天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免费质保期</w:t>
            </w:r>
          </w:p>
        </w:tc>
        <w:tc>
          <w:tcPr>
            <w:tcW w:w="3216" w:type="pct"/>
            <w:vAlign w:val="center"/>
          </w:tcPr>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验收合格之日起</w:t>
            </w:r>
            <w:r>
              <w:rPr>
                <w:rFonts w:hint="eastAsia" w:ascii="宋体" w:hAnsi="宋体" w:eastAsia="宋体"/>
                <w:b w:val="0"/>
                <w:sz w:val="24"/>
                <w:u w:val="single"/>
              </w:rPr>
              <w:t>一次性退还</w:t>
            </w:r>
          </w:p>
        </w:tc>
      </w:tr>
    </w:tbl>
    <w:p/>
    <w:p>
      <w:pPr>
        <w:numPr>
          <w:ilvl w:val="0"/>
          <w:numId w:val="1"/>
        </w:numPr>
        <w:spacing w:line="360" w:lineRule="auto"/>
        <w:ind w:firstLine="437"/>
        <w:outlineLvl w:val="1"/>
        <w:rPr>
          <w:rFonts w:ascii="宋体" w:hAnsi="宋体" w:eastAsia="宋体"/>
          <w:b/>
          <w:sz w:val="24"/>
          <w:szCs w:val="18"/>
        </w:rPr>
      </w:pPr>
      <w:r>
        <w:rPr>
          <w:rFonts w:hint="eastAsia" w:ascii="宋体" w:hAnsi="宋体" w:eastAsia="宋体"/>
          <w:b/>
          <w:sz w:val="24"/>
          <w:szCs w:val="18"/>
        </w:rPr>
        <w:t>采购需求</w:t>
      </w:r>
    </w:p>
    <w:p>
      <w:pPr>
        <w:pStyle w:val="3"/>
        <w:numPr>
          <w:ilvl w:val="0"/>
          <w:numId w:val="2"/>
        </w:numPr>
      </w:pPr>
      <w:r>
        <w:rPr>
          <w:rFonts w:hint="eastAsia"/>
        </w:rPr>
        <w:t>货物指标重要性表述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2631"/>
        <w:gridCol w:w="4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pStyle w:val="3"/>
              <w:ind w:firstLine="0"/>
              <w:jc w:val="center"/>
            </w:pPr>
            <w:r>
              <w:rPr>
                <w:rFonts w:hint="eastAsia"/>
              </w:rPr>
              <w:t>序号</w:t>
            </w:r>
          </w:p>
        </w:tc>
        <w:tc>
          <w:tcPr>
            <w:tcW w:w="2631" w:type="dxa"/>
            <w:vAlign w:val="center"/>
          </w:tcPr>
          <w:p>
            <w:pPr>
              <w:pStyle w:val="5"/>
              <w:spacing w:line="240" w:lineRule="auto"/>
              <w:jc w:val="center"/>
            </w:pPr>
            <w:r>
              <w:rPr>
                <w:rFonts w:ascii="宋体" w:hAnsi="宋体" w:eastAsia="宋体" w:cs="宋体"/>
                <w:sz w:val="24"/>
                <w:szCs w:val="24"/>
              </w:rPr>
              <w:t>标识符号</w:t>
            </w:r>
          </w:p>
        </w:tc>
        <w:tc>
          <w:tcPr>
            <w:tcW w:w="4832" w:type="dxa"/>
            <w:vAlign w:val="center"/>
          </w:tcPr>
          <w:p>
            <w:pPr>
              <w:pStyle w:val="5"/>
              <w:spacing w:line="240" w:lineRule="auto"/>
              <w:jc w:val="center"/>
            </w:pPr>
            <w:r>
              <w:rPr>
                <w:rFonts w:ascii="宋体" w:hAnsi="宋体" w:eastAsia="宋体" w:cs="宋体"/>
                <w:sz w:val="24"/>
                <w:szCs w:val="24"/>
              </w:rPr>
              <w:t>标识符号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pStyle w:val="3"/>
              <w:ind w:firstLine="0"/>
              <w:jc w:val="center"/>
            </w:pPr>
            <w:r>
              <w:rPr>
                <w:rFonts w:hint="eastAsia"/>
              </w:rPr>
              <w:t>1</w:t>
            </w:r>
          </w:p>
        </w:tc>
        <w:tc>
          <w:tcPr>
            <w:tcW w:w="2631" w:type="dxa"/>
            <w:vAlign w:val="center"/>
          </w:tcPr>
          <w:p>
            <w:pPr>
              <w:pStyle w:val="5"/>
              <w:spacing w:line="240" w:lineRule="auto"/>
              <w:jc w:val="center"/>
            </w:pPr>
            <w:r>
              <w:rPr>
                <w:rFonts w:ascii="宋体" w:hAnsi="宋体" w:eastAsia="宋体" w:cs="宋体"/>
                <w:sz w:val="24"/>
                <w:szCs w:val="24"/>
              </w:rPr>
              <w:t>★</w:t>
            </w:r>
          </w:p>
        </w:tc>
        <w:tc>
          <w:tcPr>
            <w:tcW w:w="4832" w:type="dxa"/>
            <w:vAlign w:val="center"/>
          </w:tcPr>
          <w:p>
            <w:pPr>
              <w:pStyle w:val="5"/>
              <w:spacing w:line="240" w:lineRule="auto"/>
              <w:jc w:val="center"/>
            </w:pPr>
            <w:r>
              <w:rPr>
                <w:rFonts w:hint="eastAsia" w:ascii="宋体" w:hAnsi="宋体" w:eastAsia="宋体" w:cs="宋体"/>
                <w:sz w:val="24"/>
                <w:szCs w:val="24"/>
              </w:rPr>
              <w:t>评</w:t>
            </w:r>
            <w:r>
              <w:rPr>
                <w:rFonts w:ascii="宋体" w:hAnsi="宋体" w:eastAsia="宋体" w:cs="宋体"/>
                <w:sz w:val="24"/>
                <w:szCs w:val="24"/>
              </w:rPr>
              <w:t>分项，详见评标办法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pStyle w:val="3"/>
              <w:ind w:firstLine="0"/>
              <w:jc w:val="center"/>
            </w:pPr>
            <w:r>
              <w:rPr>
                <w:rFonts w:hint="eastAsia"/>
              </w:rPr>
              <w:t>2</w:t>
            </w:r>
          </w:p>
        </w:tc>
        <w:tc>
          <w:tcPr>
            <w:tcW w:w="2631" w:type="dxa"/>
            <w:vAlign w:val="center"/>
          </w:tcPr>
          <w:p>
            <w:pPr>
              <w:pStyle w:val="5"/>
              <w:spacing w:line="240" w:lineRule="auto"/>
              <w:jc w:val="center"/>
              <w:rPr>
                <w:b/>
                <w:bCs/>
              </w:rPr>
            </w:pPr>
            <w:r>
              <w:rPr>
                <w:rFonts w:ascii="宋体" w:hAnsi="宋体" w:eastAsia="宋体" w:cs="宋体"/>
                <w:b/>
                <w:bCs/>
                <w:sz w:val="24"/>
                <w:szCs w:val="24"/>
              </w:rPr>
              <w:t>无标识项</w:t>
            </w:r>
          </w:p>
        </w:tc>
        <w:tc>
          <w:tcPr>
            <w:tcW w:w="4832" w:type="dxa"/>
            <w:vAlign w:val="center"/>
          </w:tcPr>
          <w:p>
            <w:pPr>
              <w:pStyle w:val="5"/>
              <w:spacing w:line="240" w:lineRule="auto"/>
              <w:jc w:val="center"/>
              <w:rPr>
                <w:b/>
                <w:bCs/>
              </w:rPr>
            </w:pPr>
            <w:r>
              <w:rPr>
                <w:rFonts w:ascii="宋体" w:hAnsi="宋体" w:eastAsia="宋体" w:cs="宋体"/>
                <w:b/>
                <w:bCs/>
                <w:sz w:val="24"/>
                <w:szCs w:val="24"/>
              </w:rPr>
              <w:t>无标识项有5项及以上不满足，投标无效</w:t>
            </w:r>
          </w:p>
        </w:tc>
      </w:tr>
    </w:tbl>
    <w:p>
      <w:pPr>
        <w:pStyle w:val="3"/>
        <w:ind w:firstLine="0"/>
      </w:pPr>
    </w:p>
    <w:p>
      <w:pPr>
        <w:pStyle w:val="3"/>
        <w:numPr>
          <w:ilvl w:val="0"/>
          <w:numId w:val="2"/>
        </w:numPr>
      </w:pPr>
      <w:r>
        <w:rPr>
          <w:rFonts w:hint="eastAsia"/>
        </w:rPr>
        <w:t>货物指标要求</w:t>
      </w:r>
    </w:p>
    <w:tbl>
      <w:tblPr>
        <w:tblStyle w:val="7"/>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017"/>
        <w:gridCol w:w="6222"/>
        <w:gridCol w:w="962"/>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序号</w:t>
            </w:r>
          </w:p>
        </w:tc>
        <w:tc>
          <w:tcPr>
            <w:tcW w:w="1017" w:type="dxa"/>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名称</w:t>
            </w:r>
          </w:p>
        </w:tc>
        <w:tc>
          <w:tcPr>
            <w:tcW w:w="6222" w:type="dxa"/>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参数要求</w:t>
            </w:r>
          </w:p>
        </w:tc>
        <w:tc>
          <w:tcPr>
            <w:tcW w:w="962" w:type="dxa"/>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数量（单位）</w:t>
            </w:r>
          </w:p>
        </w:tc>
        <w:tc>
          <w:tcPr>
            <w:tcW w:w="829" w:type="dxa"/>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Align w:val="center"/>
          </w:tcPr>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w:t>
            </w:r>
          </w:p>
        </w:tc>
        <w:tc>
          <w:tcPr>
            <w:tcW w:w="1017" w:type="dxa"/>
            <w:vAlign w:val="center"/>
          </w:tcPr>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网络虚拟化组件</w:t>
            </w:r>
          </w:p>
        </w:tc>
        <w:tc>
          <w:tcPr>
            <w:tcW w:w="6222" w:type="dxa"/>
            <w:vAlign w:val="center"/>
          </w:tcPr>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1.须提供不少于6颗CPU的网络虚拟化授权和不少于20颗CPU的云计算管理平台授权。</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2.要求所提供的网络虚拟化和云计算管理平台解决方案必须是完全自研的而非采用OEM方式。</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3.为了能够根据实际需求和网络拓扑，灵活地配置和管理防火墙规则，以保护网络和虚拟机的安全，要求支持创建分布式虚拟防火墙，并可基于虚拟机、虚拟机组、虚拟机标签、IP、IP范围、IP组构建安全防火墙。</w:t>
            </w:r>
          </w:p>
          <w:p>
            <w:pPr>
              <w:pStyle w:val="10"/>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 w:val="0"/>
                <w:sz w:val="24"/>
              </w:rPr>
              <w:t>4.★网络虚拟化软件和云计算管理平台软件需支持在现有超融合集群上开启并使用</w:t>
            </w:r>
            <w:r>
              <w:rPr>
                <w:rFonts w:hint="eastAsia" w:ascii="宋体" w:hAnsi="宋体" w:eastAsia="宋体"/>
                <w:bCs w:val="0"/>
                <w:sz w:val="24"/>
              </w:rPr>
              <w:t>（投标文件中需提供加盖原厂公章的原厂承诺函）</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5.服务要求：要求提供上门安装调试及工程师3年7×24小时免费上门服务，提供3年免费软件质保。</w:t>
            </w:r>
          </w:p>
        </w:tc>
        <w:tc>
          <w:tcPr>
            <w:tcW w:w="962" w:type="dxa"/>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1套</w:t>
            </w:r>
          </w:p>
        </w:tc>
        <w:tc>
          <w:tcPr>
            <w:tcW w:w="829" w:type="dxa"/>
            <w:vAlign w:val="center"/>
          </w:tcPr>
          <w:p>
            <w:pPr>
              <w:widowControl/>
              <w:jc w:val="center"/>
              <w:rPr>
                <w:rFonts w:ascii="宋体" w:hAnsi="宋体" w:eastAsia="宋体"/>
                <w:sz w:val="24"/>
              </w:rPr>
            </w:pPr>
            <w:r>
              <w:rPr>
                <w:rFonts w:hint="eastAsia" w:ascii="宋体" w:hAnsi="宋体" w:eastAsia="宋体" w:cs="宋体"/>
                <w:color w:val="000000"/>
                <w:kern w:val="0"/>
                <w:sz w:val="24"/>
                <w:szCs w:val="24"/>
                <w:lang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w:t>
            </w:r>
          </w:p>
        </w:tc>
        <w:tc>
          <w:tcPr>
            <w:tcW w:w="1017" w:type="dxa"/>
            <w:vAlign w:val="center"/>
          </w:tcPr>
          <w:p>
            <w:pPr>
              <w:pStyle w:val="10"/>
              <w:widowControl w:val="0"/>
              <w:spacing w:before="0" w:beforeAutospacing="0" w:after="0" w:afterAutospacing="0" w:line="360" w:lineRule="auto"/>
              <w:jc w:val="both"/>
              <w:rPr>
                <w:rFonts w:ascii="宋体" w:hAnsi="宋体" w:eastAsia="宋体"/>
                <w:b w:val="0"/>
                <w:sz w:val="24"/>
              </w:rPr>
            </w:pPr>
            <w:r>
              <w:rPr>
                <w:rFonts w:ascii="宋体" w:hAnsi="宋体" w:eastAsia="宋体" w:cs="宋体"/>
                <w:sz w:val="24"/>
                <w:szCs w:val="24"/>
              </w:rPr>
              <w:t>▲</w:t>
            </w:r>
            <w:r>
              <w:rPr>
                <w:rFonts w:hint="eastAsia" w:ascii="宋体" w:hAnsi="宋体" w:eastAsia="宋体"/>
                <w:b w:val="0"/>
                <w:sz w:val="24"/>
              </w:rPr>
              <w:t>超融合平台</w:t>
            </w:r>
          </w:p>
        </w:tc>
        <w:tc>
          <w:tcPr>
            <w:tcW w:w="6222" w:type="dxa"/>
            <w:vAlign w:val="center"/>
          </w:tcPr>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一、硬件参数：</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1、外型/数量≥2U机架式，CPU≥2颗，单颗CPU核数≥16，CPU主频≥2.4Ghz，内存≥1TB，系统盘至少具备两块240GB SSD固态硬盘，缓存盘至少具备2块1.92TB SSD固态硬盘，数据盘至少具备6块6TB机械硬盘，冗余电源，接口至少具备4千兆电口+2万兆光口(含对应数量的万兆光模块)</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二、功能参数：</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（一）计算虚拟化模块</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1、在超融合管理平台界面上提供虚拟机删除、开关机、挂起与恢复、重启、关闭、关闭电源、克隆、迁移、备份、模板导出、快照、标签管理等功能，并支持批量操作；</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2、★采购人的部分业务需要使用USB设备，需支持物理机上的USB映射给虚拟机使用，且虚拟机迁移或故障迁移到其他主机上也能自动映射USB设备；</w:t>
            </w:r>
            <w:r>
              <w:rPr>
                <w:rFonts w:hint="eastAsia" w:ascii="宋体" w:hAnsi="宋体" w:eastAsia="宋体"/>
                <w:bCs w:val="0"/>
                <w:sz w:val="24"/>
              </w:rPr>
              <w:t>（投标文件中提供第三方有构出具的带有CMA或CNAS标识的检测报告扫描件）</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3、为避免采购人业务系统主机假死导致系列问题发生，支持识别假死主机并标签化为亚健康主机，通过邮件或短信告警提醒用户进行处理，并限制重要业务在亚健康主机上运行，规避风险；</w:t>
            </w:r>
          </w:p>
          <w:p>
            <w:pPr>
              <w:pStyle w:val="10"/>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 w:val="0"/>
                <w:sz w:val="24"/>
              </w:rPr>
              <w:t>4、★为减少硬件问题对采购人教学业务的影响，支持内存ECC自动纠错机制，当扫描到物理主机的内存条出现ECC CE和UE错误时，能够将对应内存空间进行隔离并定位故障内存的槽位</w:t>
            </w:r>
            <w:r>
              <w:rPr>
                <w:rFonts w:hint="eastAsia" w:ascii="宋体" w:hAnsi="宋体" w:eastAsia="宋体"/>
                <w:bCs w:val="0"/>
                <w:sz w:val="24"/>
              </w:rPr>
              <w:t>（投标文件中提供第三方有构出具的带有CMA或CNAS标识的检测报告扫描件）</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5、支持虚拟机动态资源添加操作，可以通过阈值设置查看CPU和内存资源利用率，可以对虚拟机的CPU和内存使用不足时进行自动为虚拟机添加CPU和内存资源，可以保存虚拟机动态资源添加操作；</w:t>
            </w:r>
          </w:p>
          <w:p>
            <w:pPr>
              <w:pStyle w:val="10"/>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 w:val="0"/>
                <w:sz w:val="24"/>
              </w:rPr>
              <w:t>6、★支持UPS联动，为尽可能保障数据中心机房断电场景下的业务，可在市电断电时通过UPS临时供应电量，当UPS电量过低时，按照虚拟机优先级先将不重要的虚拟机进行软关机</w:t>
            </w:r>
            <w:r>
              <w:rPr>
                <w:rFonts w:hint="eastAsia" w:ascii="宋体" w:hAnsi="宋体" w:eastAsia="宋体"/>
                <w:bCs w:val="0"/>
                <w:sz w:val="24"/>
              </w:rPr>
              <w:t>（投标文件中需提供产品功能截图证明）</w:t>
            </w:r>
          </w:p>
          <w:p>
            <w:pPr>
              <w:pStyle w:val="10"/>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 w:val="0"/>
                <w:sz w:val="24"/>
              </w:rPr>
              <w:t>7.★本次采购超融合节点能够与采购人现有超融合平台组建同一集群（非纳管，非多集群），并实现在资源调度、资源监控、动态资源添加等方面的统一管理</w:t>
            </w:r>
            <w:r>
              <w:rPr>
                <w:rFonts w:hint="eastAsia" w:ascii="宋体" w:hAnsi="宋体" w:eastAsia="宋体"/>
                <w:bCs w:val="0"/>
                <w:sz w:val="24"/>
              </w:rPr>
              <w:t>（投标文件中需提供产品功能截图证明）</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（二）存储虚拟化模块</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1、支持对虚拟机或虚拟磁盘设置不同的分层QoS能力，区分出高性能虚拟机、普通性能虚拟机和低性能虚拟机；</w:t>
            </w:r>
          </w:p>
          <w:p>
            <w:pPr>
              <w:pStyle w:val="10"/>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 w:val="0"/>
                <w:sz w:val="24"/>
              </w:rPr>
              <w:t>2、★为保障采购人业务数据不丢失，支持坏道扫描功能，由用户设置扫描的时间段定期对集群的硬盘进行扫描，及时发现潜藏的坏道；</w:t>
            </w:r>
            <w:r>
              <w:rPr>
                <w:rFonts w:hint="eastAsia" w:ascii="宋体" w:hAnsi="宋体" w:eastAsia="宋体"/>
                <w:bCs w:val="0"/>
                <w:sz w:val="24"/>
              </w:rPr>
              <w:t>（投标文件中提供第三方有构出具的带有CMA或CNAS标识的检测报告扫描件）</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3、为保障能够便捷区分处理，支持多种硬盘状态检测监控及告警，包括“正常”状态、“告警”状态、“严重告警”状态，不同状态的硬盘在UI上呈现不同的特征或告警；</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超融合一体机故障对平台影响较大，也会影响采购人数据安全，为保障业务在硬件故障后尽快恢复冗余数据保障，支持数据重建优先级调整，可以查看数据重建信息，包括重建的对象名称、类型、数据量和优先级等信息，支持对不同对象的重建优先级进行调整，保证重要的业务优先恢复；</w:t>
            </w:r>
            <w:r>
              <w:rPr>
                <w:rFonts w:hint="eastAsia" w:ascii="宋体" w:hAnsi="宋体" w:eastAsia="宋体"/>
                <w:bCs w:val="0"/>
                <w:sz w:val="24"/>
              </w:rPr>
              <w:t>（投标文件中提供第三方有构出具的带有CMA或CNAS标识的检测报告扫描件）</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5、★由于磁盘卡慢盘可能拖累平台性能导致业务卡顿，需针对卡慢磁盘进行自动隔离并重建数据，恢复业务性能，并在界面提示告警信息及磁盘隔离原因；</w:t>
            </w:r>
            <w:r>
              <w:rPr>
                <w:rFonts w:hint="eastAsia" w:ascii="宋体" w:hAnsi="宋体" w:eastAsia="宋体"/>
                <w:bCs w:val="0"/>
                <w:sz w:val="24"/>
              </w:rPr>
              <w:t>（投标文件中提供第三方有构出具的带有CMA或CNAS标识的检测报告扫描件）</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（三）网络虚拟化模块</w:t>
            </w:r>
          </w:p>
          <w:p>
            <w:pPr>
              <w:pStyle w:val="10"/>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 w:val="0"/>
                <w:sz w:val="24"/>
              </w:rPr>
              <w:t>1、★在管理平台上可以通过拖拽虚拟设备图标和连线就能完成网络拓扑的构建，快速的实现整个业务逻辑，并且可以连接、开启、关闭虚拟网络设备，支持对整个平台虚拟设备实现统一的管理，提升采购人网络运维效率；</w:t>
            </w:r>
            <w:r>
              <w:rPr>
                <w:rFonts w:hint="eastAsia" w:ascii="宋体" w:hAnsi="宋体" w:eastAsia="宋体"/>
                <w:bCs w:val="0"/>
                <w:sz w:val="24"/>
              </w:rPr>
              <w:t>（投标文件中需提供产品功能截图证明）</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2、为满足采购人业务使用需求，支持为虚拟机配置IPv6地址，并可通过IPv6地址访问该业务；</w:t>
            </w:r>
          </w:p>
          <w:p>
            <w:pPr>
              <w:pStyle w:val="10"/>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 w:val="0"/>
                <w:sz w:val="24"/>
              </w:rPr>
              <w:t>3、★通常业务虚拟机出现网络问题，运维人员需要逐个排查效率较低，为方便运维人员根据虚机间流量情况跟踪排障，方便快速定位问题，及时优化调整安全策略，超融合需提供网络可视化功能，在图形化界面观察到所有虚拟机的流量走向与访问关系，包括源对象、源IP、目标对象、目的IP、访问次数、服务类型等信息。</w:t>
            </w:r>
            <w:r>
              <w:rPr>
                <w:rFonts w:hint="eastAsia" w:ascii="宋体" w:hAnsi="宋体" w:eastAsia="宋体"/>
                <w:bCs w:val="0"/>
                <w:sz w:val="24"/>
              </w:rPr>
              <w:t>（投标文件中提供第三方有构出具的带有CMA或CNAS标识的检测报告扫描件）</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4、超融合需提供网络可视化组件，可在图形化界面上观察到所有虚拟机的流量走向与访问关系，包括源对象、源IP、目标对象、目的IP、访问次数、服务类型、动作等。</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（四）云计算管理平台模块</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云计算管理平台，和底层资源池部分的（计算虚拟化、存储虚拟化、网络虚拟化）均为同一厂商品牌提供，并可以支持扩展同一品牌的网络和安全虚拟化（虚拟应用防火墙、虚拟应用负载均衡等）功能组件，以保障平台的扩展性和兼容性；</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2、支持大屏展示便于采购人直观查看虚拟化资源池的使用情况和健康状态，包括集群资源情况，各主机资源使用情况，存储资源池的IO次数、IO速率、IO时延、存储命中率、主机命中率，以及集群故障与告警；</w:t>
            </w:r>
          </w:p>
        </w:tc>
        <w:tc>
          <w:tcPr>
            <w:tcW w:w="962" w:type="dxa"/>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3套</w:t>
            </w:r>
          </w:p>
        </w:tc>
        <w:tc>
          <w:tcPr>
            <w:tcW w:w="829" w:type="dxa"/>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w:t>
            </w:r>
          </w:p>
        </w:tc>
        <w:tc>
          <w:tcPr>
            <w:tcW w:w="1017" w:type="dxa"/>
            <w:vAlign w:val="center"/>
          </w:tcPr>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千兆交换机</w:t>
            </w:r>
          </w:p>
        </w:tc>
        <w:tc>
          <w:tcPr>
            <w:tcW w:w="6222" w:type="dxa"/>
            <w:vAlign w:val="center"/>
          </w:tcPr>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1.交换容量≥432Gbps/4.32Tbps；包转发率≥156Mpps；</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2.万兆SFP+光口≥4个；千兆电口≥24个；Console口≥1个，Manage口≥1个；</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★3.为满足网络安全建设需求，交换机需满足《信息安全技术交换机安全技术要求GA/T 684-2007》,符合安全交换机标准</w:t>
            </w:r>
            <w:r>
              <w:rPr>
                <w:rFonts w:hint="eastAsia" w:ascii="宋体" w:hAnsi="宋体" w:eastAsia="宋体"/>
                <w:bCs w:val="0"/>
                <w:sz w:val="24"/>
              </w:rPr>
              <w:t>（投标文件中提供第三方有构出具的带有CMA或CNAS标识的检测报告扫描件）</w:t>
            </w:r>
          </w:p>
        </w:tc>
        <w:tc>
          <w:tcPr>
            <w:tcW w:w="962" w:type="dxa"/>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2台</w:t>
            </w:r>
          </w:p>
        </w:tc>
        <w:tc>
          <w:tcPr>
            <w:tcW w:w="829" w:type="dxa"/>
            <w:vAlign w:val="center"/>
          </w:tcPr>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w:t>
            </w:r>
          </w:p>
        </w:tc>
        <w:tc>
          <w:tcPr>
            <w:tcW w:w="1017" w:type="dxa"/>
            <w:vAlign w:val="center"/>
          </w:tcPr>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万兆交换机</w:t>
            </w:r>
          </w:p>
        </w:tc>
        <w:tc>
          <w:tcPr>
            <w:tcW w:w="6222" w:type="dxa"/>
            <w:vAlign w:val="center"/>
          </w:tcPr>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1.交换容量≥1.28Tbps/12.8Tbps；包转发率≥480Mpps；</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2.万兆SFP+光口≥12个；千兆电口≥12个；Console口≥1个，Manage口≥1个；</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3.支持智能交换机和普通交换机两种工作模式，可以根据不同的组网需要，随时灵活的进行切换</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4.支持终端类型库，基于指纹自动识别PC、路由器、摄像头设备、无线AP等；</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★5.支持零配置上线，支持二层广播自动发现网管中心平台；支持配置静态IP地址三层发现网管中心平台；支持DHCP Option43方式发现网管中心平台；支持DNS域名发现网管中心平台</w:t>
            </w:r>
            <w:r>
              <w:rPr>
                <w:rFonts w:hint="eastAsia" w:ascii="宋体" w:hAnsi="宋体" w:eastAsia="宋体"/>
                <w:bCs w:val="0"/>
                <w:sz w:val="24"/>
              </w:rPr>
              <w:t>（投标文件中提供第三方有构出具的带有CMA或CNAS标识的检测报告扫描件）</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6.支持IEEE 802.3az标准的EEE节能技术，可减小端口的功耗，达到了节能的目的；</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★7.支持在交换机上创建东西向安全策略，实现全网安全风险拦截</w:t>
            </w:r>
            <w:r>
              <w:rPr>
                <w:rFonts w:hint="eastAsia" w:ascii="宋体" w:hAnsi="宋体" w:eastAsia="宋体"/>
                <w:bCs w:val="0"/>
                <w:sz w:val="24"/>
              </w:rPr>
              <w:t>（投标文件中提供第三方有构出具的带有CMA或CNAS标识的检测报告扫描件）</w:t>
            </w:r>
            <w:r>
              <w:rPr>
                <w:rFonts w:hint="eastAsia" w:ascii="宋体" w:hAnsi="宋体" w:eastAsia="宋体"/>
                <w:b w:val="0"/>
                <w:sz w:val="24"/>
              </w:rPr>
              <w:t>；</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8.具备安全特性，支持与无线网络设备、安全设备联动实现更安全的网络管控；</w:t>
            </w:r>
          </w:p>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★9.为保证设备在受到外界机械碰撞时能够正常运行，要求所投交换机IK防护测试级别至少达到IK06</w:t>
            </w:r>
            <w:r>
              <w:rPr>
                <w:rFonts w:hint="eastAsia" w:ascii="宋体" w:hAnsi="宋体" w:eastAsia="宋体"/>
                <w:bCs w:val="0"/>
                <w:sz w:val="24"/>
              </w:rPr>
              <w:t>（投标文件中提供第三方有构出具的带有CMA或CNAS标识的检测报告扫描件）</w:t>
            </w:r>
          </w:p>
        </w:tc>
        <w:tc>
          <w:tcPr>
            <w:tcW w:w="962" w:type="dxa"/>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2台</w:t>
            </w:r>
          </w:p>
        </w:tc>
        <w:tc>
          <w:tcPr>
            <w:tcW w:w="829" w:type="dxa"/>
            <w:vAlign w:val="center"/>
          </w:tcPr>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工业</w:t>
            </w:r>
          </w:p>
        </w:tc>
      </w:tr>
    </w:tbl>
    <w:p>
      <w:bookmarkStart w:id="2" w:name="_Toc4843"/>
    </w:p>
    <w:p>
      <w:pPr>
        <w:numPr>
          <w:ilvl w:val="0"/>
          <w:numId w:val="1"/>
        </w:numPr>
        <w:spacing w:line="360" w:lineRule="auto"/>
        <w:ind w:firstLine="437"/>
        <w:outlineLvl w:val="1"/>
        <w:rPr>
          <w:rFonts w:ascii="宋体" w:hAnsi="宋体" w:eastAsia="宋体"/>
          <w:b/>
          <w:bCs/>
          <w:sz w:val="24"/>
          <w:szCs w:val="18"/>
        </w:rPr>
      </w:pPr>
      <w:r>
        <w:rPr>
          <w:rFonts w:hint="eastAsia" w:ascii="宋体" w:hAnsi="宋体" w:eastAsia="宋体"/>
          <w:b/>
          <w:bCs/>
          <w:sz w:val="24"/>
          <w:szCs w:val="18"/>
        </w:rPr>
        <w:t>报价要求</w:t>
      </w:r>
      <w:bookmarkEnd w:id="2"/>
    </w:p>
    <w:p>
      <w:pPr>
        <w:spacing w:line="360" w:lineRule="auto"/>
        <w:ind w:left="437"/>
        <w:outlineLvl w:val="1"/>
      </w:pPr>
      <w:r>
        <w:rPr>
          <w:rFonts w:hint="eastAsia" w:ascii="宋体" w:hAnsi="宋体" w:eastAsia="宋体" w:cs="宋体"/>
          <w:b/>
          <w:bCs/>
          <w:color w:val="000000"/>
          <w:kern w:val="0"/>
          <w:sz w:val="24"/>
          <w:szCs w:val="24"/>
          <w:lang w:bidi="ar"/>
        </w:rPr>
        <w:t>本项目报总价，报价包含完成本项目的所有费用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B73BD"/>
    <w:multiLevelType w:val="singleLevel"/>
    <w:tmpl w:val="BF8B73BD"/>
    <w:lvl w:ilvl="0" w:tentative="0">
      <w:start w:val="2"/>
      <w:numFmt w:val="chineseCounting"/>
      <w:suff w:val="nothing"/>
      <w:lvlText w:val="%1、"/>
      <w:lvlJc w:val="left"/>
      <w:rPr>
        <w:rFonts w:hint="eastAsia"/>
      </w:rPr>
    </w:lvl>
  </w:abstractNum>
  <w:abstractNum w:abstractNumId="1">
    <w:nsid w:val="39961047"/>
    <w:multiLevelType w:val="singleLevel"/>
    <w:tmpl w:val="3996104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NzUyMjk5ZjcyZmU2Mjc0YTlmYTBkMGM0M2NlMzIifQ=="/>
  </w:docVars>
  <w:rsids>
    <w:rsidRoot w:val="00000000"/>
    <w:rsid w:val="502A7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3">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unhideWhenUsed/>
    <w:qFormat/>
    <w:uiPriority w:val="99"/>
    <w:pPr>
      <w:spacing w:after="120" w:line="480" w:lineRule="auto"/>
    </w:p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amp;L"/>
    <w:basedOn w:val="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0">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2024-07-02T08:48:29Z</dcterms:created>
  <dc:creator>admin</dc:creator>
  <cp:lastModifiedBy>张挺</cp:lastModifiedBy>
  <dcterms:modified xsi:type="dcterms:W3CDTF">2024-07-02T08:48:34Z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604F3178DD0B4A69A8FAD8C0694DD869_12</vt:lpwstr>
  </property>
</Properties>
</file>